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0E8282">
      <w:pPr>
        <w:tabs>
          <w:tab w:val="left" w:pos="3804"/>
        </w:tabs>
        <w:spacing w:before="312" w:beforeLines="100" w:after="312" w:afterLines="100" w:line="480" w:lineRule="auto"/>
        <w:rPr>
          <w:sz w:val="24"/>
        </w:rPr>
      </w:pPr>
      <w:r>
        <w:rPr>
          <w:rFonts w:ascii="黑体" w:hAnsi="宋体" w:eastAsia="黑体"/>
          <w:color w:val="FFFFFF"/>
          <w:sz w:val="28"/>
        </w:rPr>
        <mc:AlternateContent>
          <mc:Choice Requires="wps">
            <w:drawing>
              <wp:anchor distT="0" distB="0" distL="114300" distR="114300" simplePos="0" relativeHeight="251663360" behindDoc="0" locked="0" layoutInCell="1" allowOverlap="1">
                <wp:simplePos x="0" y="0"/>
                <wp:positionH relativeFrom="margin">
                  <wp:posOffset>-544830</wp:posOffset>
                </wp:positionH>
                <wp:positionV relativeFrom="paragraph">
                  <wp:posOffset>-374015</wp:posOffset>
                </wp:positionV>
                <wp:extent cx="6892925" cy="396240"/>
                <wp:effectExtent l="0" t="0" r="0" b="3810"/>
                <wp:wrapNone/>
                <wp:docPr id="11" name="Text Box 2"/>
                <wp:cNvGraphicFramePr/>
                <a:graphic xmlns:a="http://schemas.openxmlformats.org/drawingml/2006/main">
                  <a:graphicData uri="http://schemas.microsoft.com/office/word/2010/wordprocessingShape">
                    <wps:wsp>
                      <wps:cNvSpPr txBox="1"/>
                      <wps:spPr>
                        <a:xfrm>
                          <a:off x="0" y="0"/>
                          <a:ext cx="6893169" cy="396240"/>
                        </a:xfrm>
                        <a:prstGeom prst="rect">
                          <a:avLst/>
                        </a:prstGeom>
                        <a:noFill/>
                        <a:ln w="9525">
                          <a:noFill/>
                        </a:ln>
                        <a:effectLst/>
                      </wps:spPr>
                      <wps:txbx>
                        <w:txbxContent>
                          <w:p w14:paraId="0118BCB5">
                            <w:pPr>
                              <w:rPr>
                                <w:rFonts w:ascii="黑体" w:eastAsia="黑体"/>
                                <w:sz w:val="28"/>
                              </w:rPr>
                            </w:pPr>
                            <w:r>
                              <w:rPr>
                                <w:rFonts w:hint="eastAsia" w:ascii="黑体" w:hAnsi="Arial Black" w:eastAsia="黑体"/>
                                <w:color w:val="FFFFFF"/>
                                <w:sz w:val="28"/>
                              </w:rPr>
                              <w:t xml:space="preserve">交易咨询：0571-85165192，85058093                   </w:t>
                            </w:r>
                            <w:r>
                              <w:rPr>
                                <w:rFonts w:hint="eastAsia" w:ascii="黑体" w:hAnsi="Arial Black" w:eastAsia="黑体"/>
                                <w:color w:val="FFFFFF"/>
                                <w:sz w:val="28"/>
                              </w:rPr>
                              <w:fldChar w:fldCharType="begin"/>
                            </w:r>
                            <w:r>
                              <w:rPr>
                                <w:rFonts w:hint="eastAsia" w:ascii="黑体" w:hAnsi="Arial Black" w:eastAsia="黑体"/>
                                <w:color w:val="FFFFFF"/>
                                <w:sz w:val="28"/>
                              </w:rPr>
                              <w:instrText xml:space="preserve"> TIME \@ "yyyy年M月d日星期W"</w:instrText>
                            </w:r>
                            <w:r>
                              <w:rPr>
                                <w:rFonts w:hint="eastAsia" w:ascii="黑体" w:hAnsi="Arial Black" w:eastAsia="黑体"/>
                                <w:color w:val="FFFFFF"/>
                                <w:sz w:val="28"/>
                              </w:rPr>
                              <w:fldChar w:fldCharType="separate"/>
                            </w:r>
                            <w:r>
                              <w:rPr>
                                <w:rFonts w:hint="eastAsia" w:ascii="黑体" w:hAnsi="Arial Black" w:eastAsia="黑体"/>
                                <w:color w:val="FFFFFF"/>
                                <w:sz w:val="28"/>
                              </w:rPr>
                              <w:t>2024年11月21日星期四</w:t>
                            </w:r>
                            <w:r>
                              <w:rPr>
                                <w:rFonts w:hint="eastAsia" w:ascii="黑体" w:hAnsi="Arial Black" w:eastAsia="黑体"/>
                                <w:color w:val="FFFFFF"/>
                                <w:sz w:val="28"/>
                              </w:rPr>
                              <w:fldChar w:fldCharType="end"/>
                            </w:r>
                          </w:p>
                        </w:txbxContent>
                      </wps:txbx>
                      <wps:bodyPr wrap="square" upright="1"/>
                    </wps:wsp>
                  </a:graphicData>
                </a:graphic>
              </wp:anchor>
            </w:drawing>
          </mc:Choice>
          <mc:Fallback>
            <w:pict>
              <v:shape id="Text Box 2" o:spid="_x0000_s1026" o:spt="202" type="#_x0000_t202" style="position:absolute;left:0pt;margin-left:-42.9pt;margin-top:-29.45pt;height:31.2pt;width:542.75pt;mso-position-horizontal-relative:margin;z-index:251663360;mso-width-relative:page;mso-height-relative:page;" filled="f" stroked="f" coordsize="21600,21600" o:gfxdata="UEsDBAoAAAAAAIdO4kAAAAAAAAAAAAAAAAAEAAAAZHJzL1BLAwQUAAAACACHTuJA2DkjStcAAAAJ&#10;AQAADwAAAGRycy9kb3ducmV2LnhtbE2PwU7DMBBE70j8g7VI3Fq7QGgc4vQA4gqiQCVubrxNIuJ1&#10;FLtN+HuWE73taEczb8rN7HtxwjF2gQyslgoEUh1cR42Bj/fnRQ4iJkvO9oHQwA9G2FSXF6UtXJjo&#10;DU/b1AgOoVhYA21KQyFlrFv0Ni7DgMS/Qxi9TSzHRrrRThzue3mj1L30tiNuaO2Ajy3W39ujN/D5&#10;cvja3anX5slnwxRmJclracz11Uo9gEg4p38z/OEzOlTMtA9HclH0BhZ5xuiJjyzXINihtV6D2Bu4&#10;zUBWpTxfUP0CUEsDBBQAAAAIAIdO4kBUrFwKtgEAAHMDAAAOAAAAZHJzL2Uyb0RvYy54bWytU8tu&#10;2zAQvBfIPxC8x7KVxogFywECI70UTYGkH0BTS4sAX+HSlvz3WdKKG6SXHHqhlvsY7syu1vejNewI&#10;EbV3LV/M5pyBk77Tbt/yPy+P13ecYRKuE8Y7aPkJkN9vrr6th9BA7XtvOoiMQBw2Q2h5n1Joqgpl&#10;D1bgzAdwFFQ+WpHoGvdVF8VA6NZU9Xy+rAYfuxC9BETybs9BPiHGrwB6pbSErZcHCy6dUSMYkYgS&#10;9jog35RulQKZnpRCSMy0nJimctIjZO/yWW3WotlHEXotpxbEV1r4xMkK7ejRC9RWJMEOUf8DZbWM&#10;Hr1KM+ltdSZSFCEWi/knbZ57EaBwIakxXETH/wcrfx1/R6Y72oQFZ05YmvgLjIk9+JHVWZ4hYENZ&#10;z4Hy0khuSn33Izkz61FFm7/Eh1GcxD1dxM1gkpzLu9XNYrniTFLsZrWsvxf1q7/VIWL6Ad6ybLQ8&#10;0vCKpuL4ExN1QqnvKfkx5x+1MWWAxrGh5avb+rYUXCJUYVzOhbIKE0xmdO48W2ncjRPNne9OxHKg&#10;dWg5vh5EBM4OIep9T/0U1lUuoVmUbqa9ycP+eCf747+ye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OSNK1wAAAAkBAAAPAAAAAAAAAAEAIAAAACIAAABkcnMvZG93bnJldi54bWxQSwECFAAUAAAA&#10;CACHTuJAVKxcCrYBAABzAwAADgAAAAAAAAABACAAAAAmAQAAZHJzL2Uyb0RvYy54bWxQSwUGAAAA&#10;AAYABgBZAQAATgUAAAAA&#10;">
                <v:fill on="f" focussize="0,0"/>
                <v:stroke on="f"/>
                <v:imagedata o:title=""/>
                <o:lock v:ext="edit" aspectratio="f"/>
                <v:textbox>
                  <w:txbxContent>
                    <w:p w14:paraId="0118BCB5">
                      <w:pPr>
                        <w:rPr>
                          <w:rFonts w:ascii="黑体" w:eastAsia="黑体"/>
                          <w:sz w:val="28"/>
                        </w:rPr>
                      </w:pPr>
                      <w:r>
                        <w:rPr>
                          <w:rFonts w:hint="eastAsia" w:ascii="黑体" w:hAnsi="Arial Black" w:eastAsia="黑体"/>
                          <w:color w:val="FFFFFF"/>
                          <w:sz w:val="28"/>
                        </w:rPr>
                        <w:t xml:space="preserve">交易咨询：0571-85165192，85058093                   </w:t>
                      </w:r>
                      <w:r>
                        <w:rPr>
                          <w:rFonts w:hint="eastAsia" w:ascii="黑体" w:hAnsi="Arial Black" w:eastAsia="黑体"/>
                          <w:color w:val="FFFFFF"/>
                          <w:sz w:val="28"/>
                        </w:rPr>
                        <w:fldChar w:fldCharType="begin"/>
                      </w:r>
                      <w:r>
                        <w:rPr>
                          <w:rFonts w:hint="eastAsia" w:ascii="黑体" w:hAnsi="Arial Black" w:eastAsia="黑体"/>
                          <w:color w:val="FFFFFF"/>
                          <w:sz w:val="28"/>
                        </w:rPr>
                        <w:instrText xml:space="preserve"> TIME \@ "yyyy年M月d日星期W"</w:instrText>
                      </w:r>
                      <w:r>
                        <w:rPr>
                          <w:rFonts w:hint="eastAsia" w:ascii="黑体" w:hAnsi="Arial Black" w:eastAsia="黑体"/>
                          <w:color w:val="FFFFFF"/>
                          <w:sz w:val="28"/>
                        </w:rPr>
                        <w:fldChar w:fldCharType="separate"/>
                      </w:r>
                      <w:r>
                        <w:rPr>
                          <w:rFonts w:hint="eastAsia" w:ascii="黑体" w:hAnsi="Arial Black" w:eastAsia="黑体"/>
                          <w:color w:val="FFFFFF"/>
                          <w:sz w:val="28"/>
                        </w:rPr>
                        <w:t>2024年11月21日星期四</w:t>
                      </w:r>
                      <w:r>
                        <w:rPr>
                          <w:rFonts w:hint="eastAsia" w:ascii="黑体" w:hAnsi="Arial Black" w:eastAsia="黑体"/>
                          <w:color w:val="FFFFFF"/>
                          <w:sz w:val="28"/>
                        </w:rPr>
                        <w:fldChar w:fldCharType="end"/>
                      </w:r>
                    </w:p>
                  </w:txbxContent>
                </v:textbox>
              </v:shape>
            </w:pict>
          </mc:Fallback>
        </mc:AlternateContent>
      </w:r>
      <w:r>
        <w:rPr>
          <w:rFonts w:ascii="黑体" w:hAnsi="宋体" w:eastAsia="黑体"/>
          <w:color w:val="FFFFFF"/>
          <w:sz w:val="28"/>
        </w:rPr>
        <mc:AlternateContent>
          <mc:Choice Requires="wps">
            <w:drawing>
              <wp:anchor distT="0" distB="0" distL="114300" distR="114300" simplePos="0" relativeHeight="251662336" behindDoc="1" locked="0" layoutInCell="1" allowOverlap="1">
                <wp:simplePos x="0" y="0"/>
                <wp:positionH relativeFrom="page">
                  <wp:posOffset>-635</wp:posOffset>
                </wp:positionH>
                <wp:positionV relativeFrom="page">
                  <wp:posOffset>1154430</wp:posOffset>
                </wp:positionV>
                <wp:extent cx="8343900" cy="504190"/>
                <wp:effectExtent l="0" t="0" r="0" b="0"/>
                <wp:wrapNone/>
                <wp:docPr id="10" name="未知"/>
                <wp:cNvGraphicFramePr/>
                <a:graphic xmlns:a="http://schemas.openxmlformats.org/drawingml/2006/main">
                  <a:graphicData uri="http://schemas.microsoft.com/office/word/2010/wordprocessingShape">
                    <wps:wsp>
                      <wps:cNvSpPr>
                        <a:spLocks noChangeArrowheads="1"/>
                      </wps:cNvSpPr>
                      <wps:spPr bwMode="auto">
                        <a:xfrm>
                          <a:off x="0" y="0"/>
                          <a:ext cx="8343900" cy="504190"/>
                        </a:xfrm>
                        <a:custGeom>
                          <a:avLst/>
                          <a:gdLst>
                            <a:gd name="T0" fmla="*/ 0 w 10880"/>
                            <a:gd name="T1" fmla="*/ 0 h 453"/>
                            <a:gd name="T2" fmla="*/ 0 w 10880"/>
                            <a:gd name="T3" fmla="*/ 453 h 453"/>
                            <a:gd name="T4" fmla="*/ 10880 w 10880"/>
                            <a:gd name="T5" fmla="*/ 453 h 453"/>
                            <a:gd name="T6" fmla="*/ 10880 w 10880"/>
                            <a:gd name="T7" fmla="*/ 0 h 453"/>
                            <a:gd name="T8" fmla="*/ 0 w 10880"/>
                            <a:gd name="T9" fmla="*/ 0 h 453"/>
                          </a:gdLst>
                          <a:ahLst/>
                          <a:cxnLst>
                            <a:cxn ang="0">
                              <a:pos x="T0" y="T1"/>
                            </a:cxn>
                            <a:cxn ang="0">
                              <a:pos x="T2" y="T3"/>
                            </a:cxn>
                            <a:cxn ang="0">
                              <a:pos x="T4" y="T5"/>
                            </a:cxn>
                            <a:cxn ang="0">
                              <a:pos x="T6" y="T7"/>
                            </a:cxn>
                            <a:cxn ang="0">
                              <a:pos x="T8" y="T9"/>
                            </a:cxn>
                          </a:cxnLst>
                          <a:rect l="0" t="0" r="r" b="b"/>
                          <a:pathLst>
                            <a:path w="10880" h="453">
                              <a:moveTo>
                                <a:pt x="0" y="0"/>
                              </a:moveTo>
                              <a:lnTo>
                                <a:pt x="0" y="453"/>
                              </a:lnTo>
                              <a:lnTo>
                                <a:pt x="10880" y="453"/>
                              </a:lnTo>
                              <a:lnTo>
                                <a:pt x="10880" y="0"/>
                              </a:lnTo>
                              <a:lnTo>
                                <a:pt x="0" y="0"/>
                              </a:lnTo>
                              <a:close/>
                            </a:path>
                          </a:pathLst>
                        </a:custGeom>
                        <a:solidFill>
                          <a:srgbClr val="CC0000">
                            <a:alpha val="74117"/>
                          </a:srgbClr>
                        </a:solidFill>
                        <a:ln>
                          <a:noFill/>
                        </a:ln>
                        <a:effectLst/>
                      </wps:spPr>
                      <wps:bodyPr rot="0" vert="horz" wrap="square" lIns="91440" tIns="45720" rIns="91440" bIns="45720" anchor="t" anchorCtr="0" upright="1">
                        <a:noAutofit/>
                      </wps:bodyPr>
                    </wps:wsp>
                  </a:graphicData>
                </a:graphic>
              </wp:anchor>
            </w:drawing>
          </mc:Choice>
          <mc:Fallback>
            <w:pict>
              <v:shape id="未知" o:spid="_x0000_s1026" o:spt="100" style="position:absolute;left:0pt;margin-left:-0.05pt;margin-top:90.9pt;height:39.7pt;width:657pt;mso-position-horizontal-relative:page;mso-position-vertical-relative:page;z-index:-251654144;mso-width-relative:page;mso-height-relative:page;" fillcolor="#CC0000" filled="t" stroked="f" coordsize="10880,453" o:gfxdata="UEsDBAoAAAAAAIdO4kAAAAAAAAAAAAAAAAAEAAAAZHJzL1BLAwQUAAAACACHTuJAjAcf9NYAAAAK&#10;AQAADwAAAGRycy9kb3ducmV2LnhtbE2PwU7DMBBE70j8g7VI3FrHKYpCiFMJUG9cEirObrzEaWM7&#10;it3W/D3bExx3ZjT7pt4mO7ELLmH0ToJYZ8DQ9V6PbpCw/9ytSmAhKqfV5B1K+MEA2+b+rlaV9lfX&#10;4qWLA6MSFyolwcQ4V5yH3qBVYe1ndOR9+8WqSOcycL2oK5XbiedZVnCrRkcfjJrxzWB/6s5WQvnR&#10;tan90ua1yHcojk8pvJdJyscHkb0Ai5jiXxhu+IQODTEd/NnpwCYJK0FBkktBC27+RmyegR0k5IXI&#10;gTc1/z+h+QVQSwMEFAAAAAgAh07iQLyo5PUjAwAA+AcAAA4AAABkcnMvZTJvRG9jLnhtbK1VS27b&#10;MBDdF+gdCC0LNJJsuf4gchA4SFEgbQPEPQBNUZZQimRJ2nJ6lgJdddODtdfokJQU2YkTL+qFTGqe&#10;HmfmDWfOL3YVQ1uqdCl4GsRnUYAoJyIr+ToNviyv304CpA3mGWaC0zS4pzq4mL9+dV7LGR2IQrCM&#10;KgQkXM9qmQaFMXIWhpoUtML6TEjKwZgLVWEDW7UOM4VrYK9YOIiid2EtVCaVIFRreHvljUHDqE4h&#10;FHleEnolyKai3HhWRRk2EJIuSqmDufM2zykxn/NcU4NYGkCkxj3hEFiv7DOcn+PZWmFZlKRxAZ/i&#10;wkFMFS45HNpRXWGD0UaVj6iqkiihRW7OiKhCH4jLCEQRRwe5uSuwpC4WSLWWXdL1/6Mln7a3CpUZ&#10;VAKkhOMKFP/z4/ffn79samqpZ4C4k7fKBqfljSBfNeJiUWC+ppdKibqgOAOHYosP9z6wGw2folX9&#10;UWRAjDdGuCztclVZQogf7ZwY950YdGcQgZeTYTKcRuAUAdsoSuKpUyvEs/ZrstHmPRWOCW9vtPFi&#10;ZrByUmRNPEsgySsGur4JUYRqFEeTSSt9B4r3QAVKRsOmOjrIYA9yhGfYAwEHepIp6YGcN8e8GvWA&#10;R9ne9UDPso17wOhpz+D2v5yr6R6oixC0WbfZx0UrCNnxRhFYIagbK7UVSApt1bfygMRLX0F4Bihr&#10;PQIGDSzYaQPnPQ+GNFvwyNXmS2DIogWPTwJDmix42gd7d5pYFbSew6ajXNNZ+bKS2NgUuUTAEtX2&#10;Ctq6REUa2OKzlkps6VI4jDm4KXDag5Xxx6imgAHXWtt/6bia0yCM05HtFWyZ2n/P6IU8xBAmNLXN&#10;ARSHQLuFC97mrHeNtWBldl0yZkPWar1aMIW2GJr3YhHBzyUFM1lg/3acxHErWAN3/Hs8zNUTF5bX&#10;++HfUDcfwA37sm1WvumtRHYPjUsJPzBgXMKiEOp7gGoYFmmgv22wogFiHzg0v2mcJBC8cZtkNB7A&#10;RvUtq74FcwJUaWACuA12uTB+Im2kKtcFnBS7OLm4hIaZl51/3qvGWRgILtRmeNmJ09871MPAnv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jAcf9NYAAAAKAQAADwAAAAAAAAABACAAAAAiAAAAZHJz&#10;L2Rvd25yZXYueG1sUEsBAhQAFAAAAAgAh07iQLyo5PUjAwAA+AcAAA4AAAAAAAAAAQAgAAAAJQEA&#10;AGRycy9lMm9Eb2MueG1sUEsFBgAAAAAGAAYAWQEAALoGAAAAAA==&#10;" path="m0,0l0,453,10880,453,10880,0,0,0xe">
                <v:path o:connectlocs="0,0;0,504190;8343900,504190;8343900,0;0,0" o:connectangles="0,0,0,0,0"/>
                <v:fill on="t" opacity="48573f" focussize="0,0"/>
                <v:stroke on="f"/>
                <v:imagedata o:title=""/>
                <o:lock v:ext="edit" aspectratio="f"/>
              </v:shape>
            </w:pict>
          </mc:Fallback>
        </mc:AlternateContent>
      </w:r>
      <w:bookmarkStart w:id="0" w:name="_Hlk175234707"/>
      <w:r>
        <w:rPr>
          <w:rFonts w:hint="eastAsia" w:ascii="黑体" w:hAnsi="宋体" w:eastAsia="黑体"/>
          <w:color w:val="FFFFFF"/>
          <w:sz w:val="28"/>
        </w:rPr>
        <w:t xml:space="preserve"> 516519</w:t>
      </w:r>
      <w:bookmarkEnd w:id="0"/>
      <w:r>
        <w:rPr>
          <w:rFonts w:hint="eastAsia" w:ascii="黑体" w:hAnsi="宋体" w:eastAsia="黑体"/>
          <w:color w:val="FFFFFF"/>
          <w:sz w:val="28"/>
        </w:rPr>
        <w:t xml:space="preserve">       </w:t>
      </w:r>
      <w:r>
        <w:rPr>
          <w:rFonts w:hint="eastAsia" w:ascii="宋体" w:hAnsi="宋体"/>
          <w:b/>
          <w:sz w:val="30"/>
        </w:rPr>
        <w:t>新世纪期货交易提示（</w:t>
      </w:r>
      <w:r>
        <w:rPr>
          <w:rFonts w:ascii="宋体" w:hAnsi="宋体"/>
          <w:b/>
          <w:sz w:val="30"/>
        </w:rPr>
        <w:fldChar w:fldCharType="begin"/>
      </w:r>
      <w:r>
        <w:rPr>
          <w:rFonts w:ascii="宋体" w:hAnsi="宋体"/>
          <w:b/>
          <w:sz w:val="30"/>
        </w:rPr>
        <w:instrText xml:space="preserve"> TIME \@ "yyyy-M-d"</w:instrText>
      </w:r>
      <w:r>
        <w:rPr>
          <w:rFonts w:ascii="宋体" w:hAnsi="宋体"/>
          <w:b/>
          <w:sz w:val="30"/>
        </w:rPr>
        <w:fldChar w:fldCharType="separate"/>
      </w:r>
      <w:r>
        <w:rPr>
          <w:rFonts w:ascii="宋体" w:hAnsi="宋体"/>
          <w:b/>
          <w:sz w:val="30"/>
        </w:rPr>
        <w:t>2024-11-21</w:t>
      </w:r>
      <w:r>
        <w:rPr>
          <w:rFonts w:ascii="宋体" w:hAnsi="宋体"/>
          <w:b/>
          <w:sz w:val="30"/>
        </w:rPr>
        <w:fldChar w:fldCharType="end"/>
      </w:r>
      <w:r>
        <w:rPr>
          <w:rFonts w:hint="eastAsia" w:ascii="宋体" w:hAnsi="宋体"/>
          <w:b/>
          <w:sz w:val="30"/>
        </w:rPr>
        <w:t>）</w:t>
      </w:r>
      <w:bookmarkStart w:id="1" w:name="OLE_LINK6"/>
      <w:bookmarkStart w:id="2" w:name="OLE_LINK1"/>
      <w:bookmarkStart w:id="3" w:name="OLE_LINK7"/>
      <w:bookmarkStart w:id="10" w:name="_GoBack"/>
      <w:bookmarkEnd w:id="10"/>
    </w:p>
    <w:tbl>
      <w:tblPr>
        <w:tblStyle w:val="88"/>
        <w:tblW w:w="10086" w:type="dxa"/>
        <w:jc w:val="center"/>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Layout w:type="fixed"/>
        <w:tblCellMar>
          <w:top w:w="0" w:type="dxa"/>
          <w:left w:w="108" w:type="dxa"/>
          <w:bottom w:w="0" w:type="dxa"/>
          <w:right w:w="108" w:type="dxa"/>
        </w:tblCellMar>
      </w:tblPr>
      <w:tblGrid>
        <w:gridCol w:w="631"/>
        <w:gridCol w:w="1517"/>
        <w:gridCol w:w="1134"/>
        <w:gridCol w:w="6804"/>
      </w:tblGrid>
      <w:tr w14:paraId="4953A59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258" w:hRule="atLeast"/>
          <w:jc w:val="center"/>
        </w:trPr>
        <w:tc>
          <w:tcPr>
            <w:tcW w:w="631" w:type="dxa"/>
            <w:vMerge w:val="restart"/>
            <w:vAlign w:val="center"/>
          </w:tcPr>
          <w:p w14:paraId="1A9A1DF4">
            <w:pPr>
              <w:jc w:val="center"/>
              <w:rPr>
                <w:rFonts w:ascii="宋体" w:hAnsi="宋体"/>
                <w:b/>
                <w:sz w:val="24"/>
                <w:szCs w:val="21"/>
              </w:rPr>
            </w:pPr>
          </w:p>
          <w:p w14:paraId="7F7803E8">
            <w:pPr>
              <w:spacing w:line="276" w:lineRule="auto"/>
              <w:jc w:val="center"/>
              <w:rPr>
                <w:rFonts w:ascii="宋体" w:hAnsi="宋体"/>
                <w:b/>
                <w:sz w:val="24"/>
                <w:szCs w:val="21"/>
              </w:rPr>
            </w:pPr>
            <w:r>
              <w:rPr>
                <w:rFonts w:hint="eastAsia" w:ascii="宋体" w:hAnsi="宋体"/>
                <w:b/>
                <w:sz w:val="24"/>
                <w:szCs w:val="21"/>
              </w:rPr>
              <w:t>黑</w:t>
            </w:r>
          </w:p>
          <w:p w14:paraId="60A467DC">
            <w:pPr>
              <w:spacing w:line="276" w:lineRule="auto"/>
              <w:jc w:val="center"/>
              <w:rPr>
                <w:rFonts w:ascii="宋体" w:hAnsi="宋体"/>
                <w:b/>
                <w:sz w:val="24"/>
                <w:szCs w:val="21"/>
              </w:rPr>
            </w:pPr>
            <w:r>
              <w:rPr>
                <w:rFonts w:hint="eastAsia" w:ascii="宋体" w:hAnsi="宋体"/>
                <w:b/>
                <w:sz w:val="24"/>
                <w:szCs w:val="21"/>
              </w:rPr>
              <w:t>色</w:t>
            </w:r>
          </w:p>
          <w:p w14:paraId="23620D6C">
            <w:pPr>
              <w:spacing w:line="276" w:lineRule="auto"/>
              <w:jc w:val="center"/>
              <w:rPr>
                <w:rFonts w:ascii="宋体" w:hAnsi="宋体"/>
                <w:b/>
                <w:sz w:val="24"/>
                <w:szCs w:val="21"/>
              </w:rPr>
            </w:pPr>
            <w:r>
              <w:rPr>
                <w:rFonts w:hint="eastAsia" w:ascii="宋体" w:hAnsi="宋体"/>
                <w:b/>
                <w:sz w:val="24"/>
                <w:szCs w:val="21"/>
              </w:rPr>
              <w:t>产</w:t>
            </w:r>
          </w:p>
          <w:p w14:paraId="1FEE2580">
            <w:pPr>
              <w:spacing w:line="276" w:lineRule="auto"/>
              <w:jc w:val="center"/>
              <w:rPr>
                <w:rFonts w:ascii="宋体" w:hAnsi="宋体"/>
                <w:b/>
                <w:sz w:val="24"/>
                <w:szCs w:val="21"/>
              </w:rPr>
            </w:pPr>
            <w:r>
              <w:rPr>
                <w:rFonts w:hint="eastAsia" w:ascii="宋体" w:hAnsi="宋体"/>
                <w:b/>
                <w:sz w:val="24"/>
                <w:szCs w:val="21"/>
              </w:rPr>
              <w:t>业</w:t>
            </w:r>
          </w:p>
        </w:tc>
        <w:tc>
          <w:tcPr>
            <w:tcW w:w="1517" w:type="dxa"/>
            <w:vAlign w:val="center"/>
          </w:tcPr>
          <w:p w14:paraId="371FA011">
            <w:pPr>
              <w:keepNext w:val="0"/>
              <w:keepLines w:val="0"/>
              <w:suppressLineNumbers w:val="0"/>
              <w:spacing w:before="0" w:beforeAutospacing="0" w:after="0" w:afterAutospacing="0"/>
              <w:ind w:left="0" w:leftChars="0" w:right="0" w:rightChars="0"/>
              <w:jc w:val="center"/>
              <w:rPr>
                <w:rFonts w:ascii="宋体" w:hAnsi="宋体" w:cs="宋体"/>
                <w:szCs w:val="21"/>
              </w:rPr>
            </w:pPr>
            <w:r>
              <w:rPr>
                <w:rFonts w:hint="eastAsia" w:ascii="宋体" w:hAnsi="宋体"/>
                <w:szCs w:val="21"/>
              </w:rPr>
              <w:t>铁矿石</w:t>
            </w:r>
          </w:p>
        </w:tc>
        <w:tc>
          <w:tcPr>
            <w:tcW w:w="1134" w:type="dxa"/>
            <w:vAlign w:val="center"/>
          </w:tcPr>
          <w:p w14:paraId="350E3123">
            <w:pPr>
              <w:keepNext w:val="0"/>
              <w:keepLines w:val="0"/>
              <w:suppressLineNumbers w:val="0"/>
              <w:spacing w:before="0" w:beforeAutospacing="0" w:after="0" w:afterAutospacing="0"/>
              <w:ind w:left="0" w:leftChars="0" w:right="0" w:rightChars="0"/>
              <w:rPr>
                <w:rFonts w:ascii="宋体" w:hAnsi="宋体"/>
                <w:szCs w:val="21"/>
              </w:rPr>
            </w:pPr>
            <w:r>
              <w:rPr>
                <w:rFonts w:hint="eastAsia" w:ascii="宋体" w:hAnsi="宋体"/>
                <w:szCs w:val="21"/>
                <w:lang w:val="en-US" w:eastAsia="zh-CN"/>
              </w:rPr>
              <w:t>反弹抛空</w:t>
            </w:r>
          </w:p>
        </w:tc>
        <w:tc>
          <w:tcPr>
            <w:tcW w:w="6804" w:type="dxa"/>
            <w:vMerge w:val="restart"/>
            <w:shd w:val="clear" w:color="auto" w:fill="auto"/>
            <w:vAlign w:val="top"/>
          </w:tcPr>
          <w:p w14:paraId="25B5557F">
            <w:pPr>
              <w:keepNext w:val="0"/>
              <w:keepLines w:val="0"/>
              <w:suppressLineNumbers w:val="0"/>
              <w:spacing w:before="0" w:beforeAutospacing="0" w:after="0" w:afterAutospacing="0"/>
              <w:ind w:left="0" w:right="0"/>
              <w:rPr>
                <w:rFonts w:hint="eastAsia"/>
                <w:szCs w:val="21"/>
                <w:lang w:val="en-US"/>
              </w:rPr>
            </w:pPr>
            <w:bookmarkStart w:id="4" w:name="_Hlk139874417"/>
            <w:r>
              <w:rPr>
                <w:rFonts w:hint="eastAsia" w:asciiTheme="minorEastAsia" w:hAnsiTheme="minorEastAsia"/>
                <w:b/>
                <w:bCs/>
                <w:szCs w:val="21"/>
              </w:rPr>
              <w:t>铁矿：</w:t>
            </w:r>
            <w:bookmarkEnd w:id="4"/>
            <w:r>
              <w:rPr>
                <w:rFonts w:hint="eastAsia"/>
                <w:szCs w:val="21"/>
                <w:lang w:val="en-US" w:eastAsia="zh-CN"/>
              </w:rPr>
              <w:t>周二一系列利好政策不断刺激钢市，先是领导发言表示四季度经济仍向好，其次政府托底房地产，直接刺激盘面翻红。本周海外铁矿供给几乎持稳，巴西和非主流地区发货量增加，澳洲发运量四连增后小幅回落。前两周发运的回升使得外矿到港量显著攀升。</w:t>
            </w:r>
            <w:r>
              <w:rPr>
                <w:rFonts w:hint="eastAsia"/>
                <w:szCs w:val="21"/>
              </w:rPr>
              <w:t>钢厂盈利率</w:t>
            </w:r>
            <w:r>
              <w:rPr>
                <w:rFonts w:hint="eastAsia"/>
                <w:szCs w:val="21"/>
                <w:lang w:val="en-US" w:eastAsia="zh-CN"/>
              </w:rPr>
              <w:t>和开工率虽然</w:t>
            </w:r>
            <w:r>
              <w:rPr>
                <w:rFonts w:hint="eastAsia"/>
                <w:szCs w:val="21"/>
              </w:rPr>
              <w:t>继续走低，</w:t>
            </w:r>
            <w:r>
              <w:rPr>
                <w:rFonts w:hint="eastAsia"/>
                <w:szCs w:val="21"/>
                <w:lang w:val="en-US" w:eastAsia="zh-CN"/>
              </w:rPr>
              <w:t>但大高炉复产，铁水产量却有增加。但11月份后部分气温较低地区预计进入检修周期，铁水或继续回落。整体来看，铁矿到港量回升，</w:t>
            </w:r>
            <w:r>
              <w:rPr>
                <w:rFonts w:hint="eastAsia"/>
                <w:szCs w:val="21"/>
              </w:rPr>
              <w:t>需求增量有限，叠加高库存压力，</w:t>
            </w:r>
            <w:r>
              <w:rPr>
                <w:rFonts w:hint="eastAsia"/>
                <w:szCs w:val="21"/>
                <w:lang w:val="en-US" w:eastAsia="zh-CN"/>
              </w:rPr>
              <w:t>基本面仍偏空，原料难有起色，总体思路上800一线尝试分批抛空对待，国庆节后的高点作为止损点。</w:t>
            </w:r>
          </w:p>
          <w:p w14:paraId="47F60578">
            <w:pPr>
              <w:keepNext w:val="0"/>
              <w:keepLines w:val="0"/>
              <w:suppressLineNumbers w:val="0"/>
              <w:spacing w:before="0" w:beforeAutospacing="0" w:after="0" w:afterAutospacing="0"/>
              <w:ind w:left="0" w:right="0"/>
              <w:rPr>
                <w:rFonts w:hint="default"/>
                <w:szCs w:val="21"/>
                <w:lang w:val="en-US" w:eastAsia="zh-CN"/>
              </w:rPr>
            </w:pPr>
            <w:r>
              <w:rPr>
                <w:rFonts w:hint="eastAsia" w:asciiTheme="minorEastAsia" w:hAnsiTheme="minorEastAsia"/>
                <w:b/>
                <w:bCs/>
                <w:szCs w:val="21"/>
              </w:rPr>
              <w:t>煤焦：</w:t>
            </w:r>
            <w:r>
              <w:rPr>
                <w:rFonts w:hint="eastAsia"/>
                <w:szCs w:val="21"/>
                <w:lang w:val="en-US" w:eastAsia="zh-CN"/>
              </w:rPr>
              <w:t>近期成材价格偏弱，钢厂利润空间压缩，焦炭第三轮提降落地，降幅50-55元/吨不等，原料市场负反馈加深。11月份后部分气温较低地区预计进入检修周期，后期铁水或继续回落，现货成交转差，对原料补库需求不足。焦煤方面，随着用煤旺季到来，往下的空间预计也有限，盘整为主。一系列利好政策不断刺激钢市，后续市场可能更加关注一系列增量政策落地情况及实际效果，煤焦市场跟随成材走势为主。</w:t>
            </w:r>
          </w:p>
          <w:p w14:paraId="3E450DC5">
            <w:pPr>
              <w:keepNext w:val="0"/>
              <w:keepLines w:val="0"/>
              <w:suppressLineNumbers w:val="0"/>
              <w:spacing w:before="0" w:beforeAutospacing="0" w:after="0" w:afterAutospacing="0"/>
              <w:ind w:left="0" w:right="0"/>
              <w:rPr>
                <w:rFonts w:hint="default"/>
                <w:szCs w:val="21"/>
                <w:lang w:val="en-US" w:eastAsia="zh-CN"/>
              </w:rPr>
            </w:pPr>
            <w:r>
              <w:rPr>
                <w:rFonts w:hint="eastAsia" w:asciiTheme="minorEastAsia" w:hAnsiTheme="minorEastAsia"/>
                <w:b/>
                <w:bCs/>
                <w:szCs w:val="21"/>
              </w:rPr>
              <w:t>螺纹：</w:t>
            </w:r>
            <w:r>
              <w:rPr>
                <w:rFonts w:hint="eastAsia"/>
                <w:szCs w:val="21"/>
                <w:lang w:val="en-US" w:eastAsia="zh-CN"/>
              </w:rPr>
              <w:t>周二一系列利好政策不断刺激钢市，盘面大幅拉涨。区域上，近一个月来，北方价格表现更弱，跌幅明显，南北价差走扩。上周螺纹产量变动较小，螺纹厂库去化，社库累积，总库存转增，螺纹表需小幅增加。钢厂利润收缩，11月份后部分气温较低地区预计进入检修周期，建材产量增产空间不足，但目前建材利润尚存，大幅度减量概率较小，短期日均铁水产量230附近盘整。需求方面，近期北方需求有所下滑，南方区域或有分化，进一步释放力度也比较有限，关注冬储投机性需求情况。一系列利好政策不断，盘面反弹，但基本面限制反弹空间，后续市场可能更加关注一系列增量政策落地情况及实际效果。</w:t>
            </w:r>
          </w:p>
          <w:p w14:paraId="1CC79055">
            <w:pPr>
              <w:keepNext w:val="0"/>
              <w:keepLines w:val="0"/>
              <w:suppressLineNumbers w:val="0"/>
              <w:spacing w:before="0" w:beforeAutospacing="0" w:after="0" w:afterAutospacing="0"/>
              <w:ind w:left="0" w:leftChars="0" w:right="0" w:rightChars="0"/>
            </w:pPr>
            <w:r>
              <w:rPr>
                <w:rFonts w:hint="eastAsia" w:asciiTheme="minorEastAsia" w:hAnsiTheme="minorEastAsia"/>
                <w:b/>
                <w:szCs w:val="20"/>
              </w:rPr>
              <w:t>玻璃：</w:t>
            </w:r>
            <w:r>
              <w:rPr>
                <w:rFonts w:hint="eastAsia"/>
                <w:szCs w:val="21"/>
                <w:lang w:val="en-US" w:eastAsia="zh-CN"/>
              </w:rPr>
              <w:t>当前玻璃下游采购情绪走弱，盘面高位调整。华北天津个别厂家调涨，沙河多数厂家降价出货。华东市场成交尚可，江苏个别企业报价补涨。华南需求端刚需补货为主，厂家稳价观望。相关地产数据出炉，但市场情绪不足，主要因前期市场已交易过相关预期，同时地产低迷态势短期也难以扭转，难以形成驱动力，短暂情绪驱动后仍将回归理性。基于宏观面的扰动，以及下跌后估值回归，短期玻璃60日线一带存支撑，后续关注政策刺激下终端地产情况以及玻璃深加工企业资金和订单情况是否能得到有效改善。</w:t>
            </w:r>
          </w:p>
        </w:tc>
      </w:tr>
      <w:tr w14:paraId="5FC671BB">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405" w:hRule="atLeast"/>
          <w:jc w:val="center"/>
        </w:trPr>
        <w:tc>
          <w:tcPr>
            <w:tcW w:w="631" w:type="dxa"/>
            <w:vMerge w:val="continue"/>
            <w:vAlign w:val="center"/>
          </w:tcPr>
          <w:p w14:paraId="280C8796">
            <w:pPr>
              <w:spacing w:line="276" w:lineRule="auto"/>
              <w:jc w:val="center"/>
              <w:rPr>
                <w:rFonts w:ascii="宋体" w:hAnsi="宋体"/>
                <w:b/>
                <w:sz w:val="24"/>
                <w:szCs w:val="21"/>
              </w:rPr>
            </w:pPr>
          </w:p>
        </w:tc>
        <w:tc>
          <w:tcPr>
            <w:tcW w:w="1517" w:type="dxa"/>
            <w:vAlign w:val="center"/>
          </w:tcPr>
          <w:p w14:paraId="05D9AB2D">
            <w:pPr>
              <w:keepNext w:val="0"/>
              <w:keepLines w:val="0"/>
              <w:suppressLineNumbers w:val="0"/>
              <w:spacing w:before="0" w:beforeAutospacing="0" w:after="0" w:afterAutospacing="0"/>
              <w:ind w:left="0" w:leftChars="0" w:right="0" w:rightChars="0"/>
              <w:jc w:val="center"/>
              <w:rPr>
                <w:rFonts w:ascii="宋体" w:hAnsi="宋体"/>
                <w:szCs w:val="21"/>
              </w:rPr>
            </w:pPr>
            <w:r>
              <w:rPr>
                <w:rFonts w:hint="eastAsia" w:ascii="宋体" w:hAnsi="宋体"/>
                <w:szCs w:val="21"/>
              </w:rPr>
              <w:t>煤焦</w:t>
            </w:r>
          </w:p>
        </w:tc>
        <w:tc>
          <w:tcPr>
            <w:tcW w:w="1134" w:type="dxa"/>
            <w:vAlign w:val="center"/>
          </w:tcPr>
          <w:p w14:paraId="27C271B6">
            <w:pPr>
              <w:keepNext w:val="0"/>
              <w:keepLines w:val="0"/>
              <w:suppressLineNumbers w:val="0"/>
              <w:spacing w:before="0" w:beforeAutospacing="0" w:after="0" w:afterAutospacing="0"/>
              <w:ind w:left="0" w:leftChars="0" w:right="0" w:rightChars="0" w:firstLine="210" w:firstLineChars="100"/>
              <w:rPr>
                <w:szCs w:val="21"/>
              </w:rPr>
            </w:pPr>
            <w:r>
              <w:rPr>
                <w:rFonts w:hint="eastAsia" w:ascii="宋体" w:hAnsi="宋体"/>
                <w:szCs w:val="21"/>
                <w:lang w:val="en-US" w:eastAsia="zh-CN"/>
              </w:rPr>
              <w:t>调整</w:t>
            </w:r>
          </w:p>
        </w:tc>
        <w:tc>
          <w:tcPr>
            <w:tcW w:w="6804" w:type="dxa"/>
            <w:vMerge w:val="continue"/>
            <w:shd w:val="clear" w:color="auto" w:fill="auto"/>
            <w:vAlign w:val="top"/>
          </w:tcPr>
          <w:p w14:paraId="500CBFEB">
            <w:pPr>
              <w:keepNext w:val="0"/>
              <w:keepLines w:val="0"/>
              <w:suppressLineNumbers w:val="0"/>
              <w:spacing w:before="0" w:beforeAutospacing="0" w:after="0" w:afterAutospacing="0"/>
              <w:ind w:left="0" w:leftChars="0" w:right="0" w:rightChars="0"/>
              <w:jc w:val="left"/>
              <w:rPr>
                <w:rFonts w:asciiTheme="minorEastAsia" w:hAnsiTheme="minorEastAsia"/>
                <w:b/>
                <w:bCs/>
                <w:szCs w:val="21"/>
              </w:rPr>
            </w:pPr>
          </w:p>
        </w:tc>
      </w:tr>
      <w:tr w14:paraId="3F003CE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214" w:hRule="atLeast"/>
          <w:jc w:val="center"/>
        </w:trPr>
        <w:tc>
          <w:tcPr>
            <w:tcW w:w="631" w:type="dxa"/>
            <w:vMerge w:val="continue"/>
            <w:vAlign w:val="center"/>
          </w:tcPr>
          <w:p w14:paraId="7A4D6DBD">
            <w:pPr>
              <w:jc w:val="center"/>
              <w:rPr>
                <w:rFonts w:ascii="宋体" w:hAnsi="宋体"/>
                <w:b/>
                <w:sz w:val="24"/>
                <w:szCs w:val="21"/>
              </w:rPr>
            </w:pPr>
          </w:p>
        </w:tc>
        <w:tc>
          <w:tcPr>
            <w:tcW w:w="1517" w:type="dxa"/>
            <w:vAlign w:val="center"/>
          </w:tcPr>
          <w:p w14:paraId="1ACD9559">
            <w:pPr>
              <w:keepNext w:val="0"/>
              <w:keepLines w:val="0"/>
              <w:suppressLineNumbers w:val="0"/>
              <w:spacing w:before="0" w:beforeAutospacing="0" w:after="0" w:afterAutospacing="0"/>
              <w:ind w:left="0" w:leftChars="0" w:right="0" w:rightChars="0"/>
              <w:jc w:val="center"/>
              <w:rPr>
                <w:rFonts w:ascii="宋体" w:hAnsi="宋体" w:cs="宋体"/>
                <w:szCs w:val="21"/>
              </w:rPr>
            </w:pPr>
            <w:r>
              <w:rPr>
                <w:rFonts w:hint="eastAsia" w:ascii="宋体" w:hAnsi="宋体"/>
                <w:szCs w:val="21"/>
              </w:rPr>
              <w:t>卷螺</w:t>
            </w:r>
          </w:p>
        </w:tc>
        <w:tc>
          <w:tcPr>
            <w:tcW w:w="1134" w:type="dxa"/>
            <w:vAlign w:val="center"/>
          </w:tcPr>
          <w:p w14:paraId="11B35EA8">
            <w:pPr>
              <w:keepNext w:val="0"/>
              <w:keepLines w:val="0"/>
              <w:suppressLineNumbers w:val="0"/>
              <w:spacing w:before="0" w:beforeAutospacing="0" w:after="0" w:afterAutospacing="0"/>
              <w:ind w:left="0" w:leftChars="0" w:right="0" w:rightChars="0" w:firstLine="210" w:firstLineChars="100"/>
              <w:rPr>
                <w:szCs w:val="21"/>
              </w:rPr>
            </w:pPr>
            <w:r>
              <w:rPr>
                <w:rFonts w:hint="eastAsia" w:ascii="宋体" w:hAnsi="宋体"/>
                <w:szCs w:val="21"/>
                <w:lang w:val="en-US" w:eastAsia="zh-CN"/>
              </w:rPr>
              <w:t>偏空</w:t>
            </w:r>
          </w:p>
        </w:tc>
        <w:tc>
          <w:tcPr>
            <w:tcW w:w="6804" w:type="dxa"/>
            <w:vMerge w:val="continue"/>
            <w:shd w:val="clear" w:color="auto" w:fill="auto"/>
            <w:vAlign w:val="top"/>
          </w:tcPr>
          <w:p w14:paraId="683046F4">
            <w:pPr>
              <w:keepNext w:val="0"/>
              <w:keepLines w:val="0"/>
              <w:suppressLineNumbers w:val="0"/>
              <w:spacing w:before="0" w:beforeAutospacing="0" w:after="0" w:afterAutospacing="0"/>
              <w:ind w:left="0" w:leftChars="0" w:right="0" w:rightChars="0"/>
              <w:jc w:val="left"/>
              <w:rPr>
                <w:rFonts w:asciiTheme="minorEastAsia" w:hAnsiTheme="minorEastAsia" w:eastAsiaTheme="minorEastAsia"/>
                <w:szCs w:val="21"/>
              </w:rPr>
            </w:pPr>
          </w:p>
        </w:tc>
      </w:tr>
      <w:tr w14:paraId="74ACC3B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208" w:hRule="atLeast"/>
          <w:jc w:val="center"/>
        </w:trPr>
        <w:tc>
          <w:tcPr>
            <w:tcW w:w="631" w:type="dxa"/>
            <w:vMerge w:val="continue"/>
            <w:vAlign w:val="center"/>
          </w:tcPr>
          <w:p w14:paraId="7ED788F2">
            <w:pPr>
              <w:jc w:val="center"/>
              <w:rPr>
                <w:rFonts w:ascii="宋体" w:hAnsi="宋体"/>
                <w:b/>
                <w:sz w:val="24"/>
                <w:szCs w:val="21"/>
              </w:rPr>
            </w:pPr>
          </w:p>
        </w:tc>
        <w:tc>
          <w:tcPr>
            <w:tcW w:w="1517" w:type="dxa"/>
            <w:vAlign w:val="center"/>
          </w:tcPr>
          <w:p w14:paraId="74780E01">
            <w:pPr>
              <w:keepNext w:val="0"/>
              <w:keepLines w:val="0"/>
              <w:suppressLineNumbers w:val="0"/>
              <w:spacing w:before="0" w:beforeAutospacing="0" w:after="0" w:afterAutospacing="0"/>
              <w:ind w:left="0" w:leftChars="0" w:right="0" w:rightChars="0"/>
              <w:jc w:val="center"/>
              <w:rPr>
                <w:rFonts w:ascii="宋体" w:hAnsi="宋体"/>
                <w:szCs w:val="21"/>
              </w:rPr>
            </w:pPr>
            <w:r>
              <w:rPr>
                <w:rFonts w:hint="eastAsia" w:ascii="宋体" w:hAnsi="宋体"/>
                <w:szCs w:val="21"/>
              </w:rPr>
              <w:t>玻璃</w:t>
            </w:r>
          </w:p>
        </w:tc>
        <w:tc>
          <w:tcPr>
            <w:tcW w:w="1134" w:type="dxa"/>
            <w:vAlign w:val="center"/>
          </w:tcPr>
          <w:p w14:paraId="3B2D9CF6">
            <w:pPr>
              <w:keepNext w:val="0"/>
              <w:keepLines w:val="0"/>
              <w:suppressLineNumbers w:val="0"/>
              <w:spacing w:before="0" w:beforeAutospacing="0" w:after="0" w:afterAutospacing="0"/>
              <w:ind w:left="0" w:leftChars="0" w:right="0" w:rightChars="0" w:firstLine="210" w:firstLineChars="100"/>
              <w:rPr>
                <w:szCs w:val="21"/>
              </w:rPr>
            </w:pPr>
            <w:r>
              <w:rPr>
                <w:rFonts w:hint="eastAsia"/>
                <w:szCs w:val="21"/>
                <w:lang w:val="en-US" w:eastAsia="zh-CN"/>
              </w:rPr>
              <w:t>调整</w:t>
            </w:r>
          </w:p>
        </w:tc>
        <w:tc>
          <w:tcPr>
            <w:tcW w:w="6804" w:type="dxa"/>
            <w:vMerge w:val="continue"/>
            <w:shd w:val="clear" w:color="auto" w:fill="auto"/>
            <w:vAlign w:val="top"/>
          </w:tcPr>
          <w:p w14:paraId="05BDE486">
            <w:pPr>
              <w:keepNext w:val="0"/>
              <w:keepLines w:val="0"/>
              <w:suppressLineNumbers w:val="0"/>
              <w:spacing w:before="0" w:beforeAutospacing="0" w:after="0" w:afterAutospacing="0"/>
              <w:ind w:left="0" w:leftChars="0" w:right="0" w:rightChars="0"/>
              <w:jc w:val="left"/>
              <w:rPr>
                <w:rFonts w:asciiTheme="minorEastAsia" w:hAnsiTheme="minorEastAsia" w:eastAsiaTheme="minorEastAsia"/>
                <w:szCs w:val="21"/>
              </w:rPr>
            </w:pPr>
          </w:p>
        </w:tc>
      </w:tr>
      <w:tr w14:paraId="652AA7E2">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599" w:hRule="atLeast"/>
          <w:jc w:val="center"/>
        </w:trPr>
        <w:tc>
          <w:tcPr>
            <w:tcW w:w="631" w:type="dxa"/>
            <w:vMerge w:val="continue"/>
            <w:vAlign w:val="center"/>
          </w:tcPr>
          <w:p w14:paraId="3ECCE069">
            <w:pPr>
              <w:jc w:val="center"/>
              <w:rPr>
                <w:rFonts w:ascii="宋体" w:hAnsi="宋体"/>
                <w:b/>
                <w:sz w:val="24"/>
                <w:szCs w:val="21"/>
              </w:rPr>
            </w:pPr>
          </w:p>
        </w:tc>
        <w:tc>
          <w:tcPr>
            <w:tcW w:w="1517" w:type="dxa"/>
            <w:vAlign w:val="center"/>
          </w:tcPr>
          <w:p w14:paraId="45FBAF2B">
            <w:pPr>
              <w:keepNext w:val="0"/>
              <w:keepLines w:val="0"/>
              <w:suppressLineNumbers w:val="0"/>
              <w:spacing w:before="0" w:beforeAutospacing="0" w:after="0" w:afterAutospacing="0"/>
              <w:ind w:left="0" w:leftChars="0" w:right="0" w:rightChars="0"/>
              <w:jc w:val="center"/>
              <w:rPr>
                <w:rFonts w:ascii="宋体" w:hAnsi="宋体" w:cs="宋体"/>
                <w:szCs w:val="21"/>
              </w:rPr>
            </w:pPr>
            <w:r>
              <w:rPr>
                <w:rFonts w:hint="eastAsia" w:ascii="宋体" w:hAnsi="宋体" w:cs="宋体"/>
                <w:szCs w:val="21"/>
              </w:rPr>
              <w:t>纯碱</w:t>
            </w:r>
          </w:p>
        </w:tc>
        <w:tc>
          <w:tcPr>
            <w:tcW w:w="1134" w:type="dxa"/>
            <w:vAlign w:val="center"/>
          </w:tcPr>
          <w:p w14:paraId="6E87E95C">
            <w:pPr>
              <w:keepNext w:val="0"/>
              <w:keepLines w:val="0"/>
              <w:suppressLineNumbers w:val="0"/>
              <w:spacing w:before="0" w:beforeAutospacing="0" w:after="0" w:afterAutospacing="0"/>
              <w:ind w:left="0" w:leftChars="0" w:right="0" w:rightChars="0" w:firstLine="210" w:firstLineChars="100"/>
              <w:rPr>
                <w:szCs w:val="21"/>
              </w:rPr>
            </w:pPr>
            <w:r>
              <w:rPr>
                <w:rFonts w:hint="eastAsia" w:ascii="宋体" w:hAnsi="宋体"/>
                <w:szCs w:val="21"/>
              </w:rPr>
              <w:t>震荡</w:t>
            </w:r>
          </w:p>
        </w:tc>
        <w:tc>
          <w:tcPr>
            <w:tcW w:w="6804" w:type="dxa"/>
            <w:vMerge w:val="continue"/>
            <w:shd w:val="clear" w:color="auto" w:fill="auto"/>
            <w:vAlign w:val="top"/>
          </w:tcPr>
          <w:p w14:paraId="1F357B10">
            <w:pPr>
              <w:keepNext w:val="0"/>
              <w:keepLines w:val="0"/>
              <w:suppressLineNumbers w:val="0"/>
              <w:spacing w:before="0" w:beforeAutospacing="0" w:after="0" w:afterAutospacing="0"/>
              <w:ind w:left="0" w:leftChars="0" w:right="0" w:rightChars="0"/>
              <w:jc w:val="left"/>
              <w:rPr>
                <w:rFonts w:asciiTheme="minorEastAsia" w:hAnsiTheme="minorEastAsia" w:eastAsiaTheme="minorEastAsia"/>
                <w:szCs w:val="21"/>
              </w:rPr>
            </w:pPr>
          </w:p>
        </w:tc>
      </w:tr>
      <w:tr w14:paraId="6A18A9B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600" w:hRule="atLeast"/>
          <w:jc w:val="center"/>
        </w:trPr>
        <w:tc>
          <w:tcPr>
            <w:tcW w:w="631" w:type="dxa"/>
            <w:vMerge w:val="restart"/>
            <w:vAlign w:val="center"/>
          </w:tcPr>
          <w:p w14:paraId="506A3062">
            <w:pPr>
              <w:jc w:val="center"/>
              <w:rPr>
                <w:rFonts w:ascii="宋体" w:hAnsi="宋体"/>
                <w:b/>
                <w:sz w:val="24"/>
                <w:szCs w:val="21"/>
              </w:rPr>
            </w:pPr>
          </w:p>
          <w:p w14:paraId="7ADDCF48">
            <w:pPr>
              <w:jc w:val="center"/>
              <w:rPr>
                <w:rFonts w:ascii="宋体" w:hAnsi="宋体"/>
                <w:b/>
                <w:sz w:val="24"/>
                <w:szCs w:val="21"/>
              </w:rPr>
            </w:pPr>
          </w:p>
          <w:p w14:paraId="00B488D1">
            <w:pPr>
              <w:jc w:val="center"/>
              <w:rPr>
                <w:rFonts w:ascii="宋体" w:hAnsi="宋体"/>
                <w:b/>
                <w:sz w:val="24"/>
                <w:szCs w:val="21"/>
              </w:rPr>
            </w:pPr>
          </w:p>
          <w:p w14:paraId="0C4E1E28">
            <w:pPr>
              <w:jc w:val="center"/>
              <w:rPr>
                <w:rFonts w:ascii="宋体" w:hAnsi="宋体"/>
                <w:b/>
                <w:sz w:val="24"/>
                <w:szCs w:val="21"/>
              </w:rPr>
            </w:pPr>
          </w:p>
          <w:p w14:paraId="1A9011E2">
            <w:pPr>
              <w:jc w:val="center"/>
              <w:rPr>
                <w:rFonts w:ascii="宋体" w:hAnsi="宋体"/>
                <w:b/>
                <w:sz w:val="24"/>
                <w:szCs w:val="21"/>
              </w:rPr>
            </w:pPr>
          </w:p>
          <w:p w14:paraId="0D7A36E7">
            <w:pPr>
              <w:jc w:val="center"/>
              <w:rPr>
                <w:rFonts w:ascii="宋体" w:hAnsi="宋体"/>
                <w:b/>
                <w:sz w:val="24"/>
                <w:szCs w:val="21"/>
              </w:rPr>
            </w:pPr>
          </w:p>
          <w:p w14:paraId="26D8FD89">
            <w:pPr>
              <w:jc w:val="center"/>
              <w:rPr>
                <w:rFonts w:ascii="宋体" w:hAnsi="宋体"/>
                <w:b/>
                <w:sz w:val="24"/>
                <w:szCs w:val="21"/>
              </w:rPr>
            </w:pPr>
          </w:p>
          <w:p w14:paraId="5024BC6D">
            <w:pPr>
              <w:jc w:val="center"/>
              <w:rPr>
                <w:rFonts w:ascii="宋体" w:hAnsi="宋体"/>
                <w:b/>
                <w:sz w:val="24"/>
                <w:szCs w:val="21"/>
              </w:rPr>
            </w:pPr>
          </w:p>
          <w:p w14:paraId="3503EBD7">
            <w:pPr>
              <w:jc w:val="center"/>
              <w:rPr>
                <w:rFonts w:ascii="宋体" w:hAnsi="宋体"/>
                <w:b/>
                <w:sz w:val="24"/>
                <w:szCs w:val="21"/>
              </w:rPr>
            </w:pPr>
          </w:p>
          <w:p w14:paraId="2211A110">
            <w:pPr>
              <w:jc w:val="center"/>
              <w:rPr>
                <w:rFonts w:ascii="宋体" w:hAnsi="宋体"/>
                <w:b/>
                <w:sz w:val="24"/>
                <w:szCs w:val="21"/>
              </w:rPr>
            </w:pPr>
          </w:p>
          <w:p w14:paraId="6CBF46A4">
            <w:pPr>
              <w:jc w:val="center"/>
              <w:rPr>
                <w:rFonts w:ascii="宋体" w:hAnsi="宋体"/>
                <w:b/>
                <w:sz w:val="24"/>
                <w:szCs w:val="21"/>
              </w:rPr>
            </w:pPr>
            <w:r>
              <w:rPr>
                <w:rFonts w:hint="eastAsia" w:ascii="宋体" w:hAnsi="宋体"/>
                <w:b/>
                <w:sz w:val="24"/>
                <w:szCs w:val="21"/>
              </w:rPr>
              <w:t>金融</w:t>
            </w:r>
          </w:p>
        </w:tc>
        <w:tc>
          <w:tcPr>
            <w:tcW w:w="1517" w:type="dxa"/>
            <w:vAlign w:val="center"/>
          </w:tcPr>
          <w:p w14:paraId="38CA52E5">
            <w:pPr>
              <w:spacing w:line="276" w:lineRule="auto"/>
              <w:jc w:val="center"/>
              <w:rPr>
                <w:rFonts w:asciiTheme="minorEastAsia" w:hAnsiTheme="minorEastAsia" w:cstheme="minorEastAsia"/>
                <w:color w:val="000000"/>
                <w:szCs w:val="21"/>
              </w:rPr>
            </w:pPr>
            <w:r>
              <w:rPr>
                <w:rFonts w:hint="eastAsia" w:ascii="宋体" w:hAnsi="宋体"/>
                <w:color w:val="000000"/>
                <w:szCs w:val="21"/>
              </w:rPr>
              <w:t>上证50</w:t>
            </w:r>
          </w:p>
        </w:tc>
        <w:tc>
          <w:tcPr>
            <w:tcW w:w="1134" w:type="dxa"/>
            <w:vAlign w:val="center"/>
          </w:tcPr>
          <w:p w14:paraId="51D8F9A3">
            <w:pPr>
              <w:spacing w:line="276" w:lineRule="auto"/>
              <w:jc w:val="center"/>
              <w:rPr>
                <w:rFonts w:asciiTheme="minorEastAsia" w:hAnsiTheme="minorEastAsia" w:cstheme="minorEastAsia"/>
                <w:color w:val="000000"/>
                <w:szCs w:val="21"/>
              </w:rPr>
            </w:pPr>
            <w:r>
              <w:rPr>
                <w:rFonts w:hint="eastAsia" w:ascii="宋体" w:hAnsi="宋体"/>
                <w:color w:val="000000"/>
                <w:szCs w:val="21"/>
              </w:rPr>
              <w:t>震荡</w:t>
            </w:r>
          </w:p>
        </w:tc>
        <w:tc>
          <w:tcPr>
            <w:tcW w:w="6804" w:type="dxa"/>
            <w:vMerge w:val="restart"/>
            <w:shd w:val="clear" w:color="auto" w:fill="auto"/>
            <w:vAlign w:val="top"/>
          </w:tcPr>
          <w:p w14:paraId="1E9B839B">
            <w:pPr>
              <w:rPr>
                <w:rFonts w:ascii="宋体" w:hAnsi="宋体"/>
                <w:szCs w:val="21"/>
              </w:rPr>
            </w:pPr>
            <w:r>
              <w:rPr>
                <w:rFonts w:hint="eastAsia" w:ascii="宋体" w:hAnsi="宋体"/>
                <w:b/>
                <w:szCs w:val="21"/>
              </w:rPr>
              <w:t>股指期货/期权：</w:t>
            </w:r>
            <w:r>
              <w:rPr>
                <w:rFonts w:hint="eastAsia" w:ascii="宋体" w:hAnsi="宋体"/>
                <w:szCs w:val="21"/>
              </w:rPr>
              <w:t>上一交易日，沪深300股指收录</w:t>
            </w:r>
            <w:r>
              <w:rPr>
                <w:rFonts w:ascii="宋体" w:hAnsi="宋体"/>
                <w:szCs w:val="21"/>
              </w:rPr>
              <w:t>0.22%，</w:t>
            </w:r>
            <w:r>
              <w:rPr>
                <w:rFonts w:hint="eastAsia" w:ascii="宋体" w:hAnsi="宋体"/>
                <w:szCs w:val="21"/>
              </w:rPr>
              <w:t>上证50股指收录</w:t>
            </w:r>
            <w:r>
              <w:rPr>
                <w:rFonts w:ascii="宋体" w:hAnsi="宋体"/>
                <w:szCs w:val="21"/>
              </w:rPr>
              <w:t>0.19%</w:t>
            </w:r>
            <w:r>
              <w:rPr>
                <w:rFonts w:hint="eastAsia" w:ascii="宋体" w:hAnsi="宋体"/>
                <w:szCs w:val="21"/>
              </w:rPr>
              <w:t>，中证500股指收录</w:t>
            </w:r>
            <w:r>
              <w:rPr>
                <w:rFonts w:ascii="宋体" w:hAnsi="宋体"/>
                <w:szCs w:val="21"/>
              </w:rPr>
              <w:t>0.94%</w:t>
            </w:r>
            <w:r>
              <w:rPr>
                <w:rFonts w:hint="eastAsia" w:ascii="宋体" w:hAnsi="宋体"/>
                <w:szCs w:val="21"/>
              </w:rPr>
              <w:t>，中证1000股指收录</w:t>
            </w:r>
            <w:r>
              <w:rPr>
                <w:rFonts w:ascii="宋体" w:hAnsi="宋体"/>
                <w:szCs w:val="21"/>
              </w:rPr>
              <w:t>1.97%</w:t>
            </w:r>
            <w:r>
              <w:rPr>
                <w:rFonts w:hint="eastAsia" w:ascii="宋体" w:hAnsi="宋体"/>
                <w:szCs w:val="21"/>
              </w:rPr>
              <w:t>。休闲用品、互联网板块资金流入，银行、贵金属板块资金流出。11月LPR报价出炉，1年和5年期以上品种均维持不变，分别为3.1%、3.6%。国家能源局表示，10月全社会用电量7742亿千瓦时，同比增长4.3%；1-10月，全社会用电量累计81836亿千瓦时，同比增长7.6%，其中规模以上工业发电量为78027亿千瓦时。证监会主席吴清在香港会见了香港特别行政区政府财政司司长陈茂波。双方介绍了两地宏观经济及金融形势，系统回顾了近年来两地资本市场合作成果，并就深化两地金融市场合作发展，以及支持巩固提升香港国际金融中心地位等议题充分交流、凝聚共识。国务院新闻办公室将于11月22日（星期五）上午10时举行国务院政策例行吹风会，请商务部国际贸易谈判代表兼副部长王受文和外交部、工业和信息化部、中国人民银行、海关总署有关负责人介绍促进外贸稳定增长的有关政策措施，并答记者问。稳外贸预期对冲潜在关税影响，股指增持。</w:t>
            </w:r>
          </w:p>
          <w:p w14:paraId="1BDB3028">
            <w:pPr>
              <w:rPr>
                <w:rFonts w:asciiTheme="minorEastAsia" w:hAnsiTheme="minorEastAsia"/>
                <w:color w:val="000000"/>
                <w:szCs w:val="21"/>
              </w:rPr>
            </w:pPr>
            <w:r>
              <w:rPr>
                <w:rFonts w:hint="eastAsia" w:ascii="宋体" w:hAnsi="宋体"/>
                <w:b/>
                <w:szCs w:val="21"/>
              </w:rPr>
              <w:t>国债：</w:t>
            </w:r>
            <w:r>
              <w:rPr>
                <w:rFonts w:hint="eastAsia" w:ascii="宋体" w:hAnsi="宋体"/>
                <w:szCs w:val="21"/>
              </w:rPr>
              <w:t>中债十年期到期收益率持平，FR00</w:t>
            </w:r>
            <w:r>
              <w:rPr>
                <w:rFonts w:ascii="宋体" w:hAnsi="宋体"/>
                <w:szCs w:val="21"/>
              </w:rPr>
              <w:t>7持平</w:t>
            </w:r>
            <w:r>
              <w:rPr>
                <w:rFonts w:hint="eastAsia" w:ascii="宋体" w:hAnsi="宋体"/>
                <w:szCs w:val="21"/>
              </w:rPr>
              <w:t>，SHIBOR3M持平。央行公告称，为维护银行体系流动性合理充裕，11月20日以固定利率、数量招标方式开展了3021亿元7天期逆回购操作，操作利率1.50%。Wind数据显示，当日2330亿元逆回购到期，因此单日净投放691亿元，为连续3日净投放。11月21日将有3282亿元逆回购到期。国债期货进入区间盘整，国债多头轻仓持有。</w:t>
            </w:r>
          </w:p>
        </w:tc>
      </w:tr>
      <w:tr w14:paraId="6B684C1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552" w:hRule="atLeast"/>
          <w:jc w:val="center"/>
        </w:trPr>
        <w:tc>
          <w:tcPr>
            <w:tcW w:w="631" w:type="dxa"/>
            <w:vMerge w:val="continue"/>
            <w:vAlign w:val="center"/>
          </w:tcPr>
          <w:p w14:paraId="617ABDDB">
            <w:pPr>
              <w:jc w:val="center"/>
              <w:rPr>
                <w:rFonts w:ascii="宋体" w:hAnsi="宋体"/>
                <w:b/>
                <w:sz w:val="24"/>
                <w:szCs w:val="21"/>
              </w:rPr>
            </w:pPr>
          </w:p>
        </w:tc>
        <w:tc>
          <w:tcPr>
            <w:tcW w:w="1517" w:type="dxa"/>
            <w:vAlign w:val="center"/>
          </w:tcPr>
          <w:p w14:paraId="302E51A5">
            <w:pPr>
              <w:spacing w:line="276" w:lineRule="auto"/>
              <w:jc w:val="center"/>
              <w:rPr>
                <w:rFonts w:cs="宋体" w:asciiTheme="minorEastAsia" w:hAnsiTheme="minorEastAsia" w:eastAsiaTheme="minorEastAsia"/>
                <w:szCs w:val="21"/>
              </w:rPr>
            </w:pPr>
            <w:r>
              <w:rPr>
                <w:rFonts w:hint="eastAsia" w:ascii="宋体" w:hAnsi="宋体"/>
                <w:color w:val="000000"/>
                <w:szCs w:val="21"/>
              </w:rPr>
              <w:t>沪深300</w:t>
            </w:r>
          </w:p>
        </w:tc>
        <w:tc>
          <w:tcPr>
            <w:tcW w:w="1134" w:type="dxa"/>
            <w:vAlign w:val="center"/>
          </w:tcPr>
          <w:p w14:paraId="23354B97">
            <w:pPr>
              <w:spacing w:line="276" w:lineRule="auto"/>
              <w:jc w:val="center"/>
              <w:rPr>
                <w:color w:val="000000"/>
                <w:szCs w:val="21"/>
              </w:rPr>
            </w:pPr>
            <w:r>
              <w:rPr>
                <w:rFonts w:hint="eastAsia" w:ascii="宋体" w:hAnsi="宋体"/>
                <w:color w:val="000000"/>
                <w:szCs w:val="21"/>
              </w:rPr>
              <w:t>震荡</w:t>
            </w:r>
          </w:p>
        </w:tc>
        <w:tc>
          <w:tcPr>
            <w:tcW w:w="6804" w:type="dxa"/>
            <w:vMerge w:val="continue"/>
            <w:shd w:val="clear" w:color="auto" w:fill="auto"/>
            <w:vAlign w:val="top"/>
          </w:tcPr>
          <w:p w14:paraId="5C058786">
            <w:pPr>
              <w:widowControl/>
              <w:spacing w:line="276" w:lineRule="auto"/>
              <w:rPr>
                <w:rFonts w:asciiTheme="minorEastAsia" w:hAnsiTheme="minorEastAsia" w:eastAsiaTheme="minorEastAsia"/>
                <w:szCs w:val="21"/>
              </w:rPr>
            </w:pPr>
          </w:p>
        </w:tc>
      </w:tr>
      <w:tr w14:paraId="69D39A6A">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524" w:hRule="atLeast"/>
          <w:jc w:val="center"/>
        </w:trPr>
        <w:tc>
          <w:tcPr>
            <w:tcW w:w="631" w:type="dxa"/>
            <w:vMerge w:val="continue"/>
            <w:vAlign w:val="center"/>
          </w:tcPr>
          <w:p w14:paraId="12655E5A">
            <w:pPr>
              <w:jc w:val="center"/>
              <w:rPr>
                <w:rFonts w:ascii="宋体" w:hAnsi="宋体"/>
                <w:b/>
                <w:sz w:val="24"/>
                <w:szCs w:val="21"/>
              </w:rPr>
            </w:pPr>
          </w:p>
        </w:tc>
        <w:tc>
          <w:tcPr>
            <w:tcW w:w="1517" w:type="dxa"/>
            <w:vAlign w:val="center"/>
          </w:tcPr>
          <w:p w14:paraId="7F3F7F94">
            <w:pPr>
              <w:spacing w:line="276" w:lineRule="auto"/>
              <w:jc w:val="center"/>
              <w:rPr>
                <w:rFonts w:cs="宋体" w:asciiTheme="minorEastAsia" w:hAnsiTheme="minorEastAsia" w:eastAsiaTheme="minorEastAsia"/>
                <w:szCs w:val="21"/>
              </w:rPr>
            </w:pPr>
            <w:r>
              <w:rPr>
                <w:rFonts w:hint="eastAsia" w:ascii="宋体" w:hAnsi="宋体"/>
                <w:color w:val="000000"/>
                <w:szCs w:val="21"/>
              </w:rPr>
              <w:t>中证500</w:t>
            </w:r>
          </w:p>
        </w:tc>
        <w:tc>
          <w:tcPr>
            <w:tcW w:w="1134" w:type="dxa"/>
            <w:vAlign w:val="center"/>
          </w:tcPr>
          <w:p w14:paraId="202E749B">
            <w:pPr>
              <w:spacing w:line="276" w:lineRule="auto"/>
              <w:jc w:val="center"/>
              <w:rPr>
                <w:color w:val="000000"/>
                <w:szCs w:val="21"/>
              </w:rPr>
            </w:pPr>
            <w:r>
              <w:rPr>
                <w:rFonts w:ascii="宋体" w:hAnsi="宋体"/>
                <w:color w:val="000000"/>
                <w:szCs w:val="21"/>
              </w:rPr>
              <w:t>反弹</w:t>
            </w:r>
          </w:p>
        </w:tc>
        <w:tc>
          <w:tcPr>
            <w:tcW w:w="6804" w:type="dxa"/>
            <w:vMerge w:val="continue"/>
            <w:shd w:val="clear" w:color="auto" w:fill="auto"/>
            <w:vAlign w:val="top"/>
          </w:tcPr>
          <w:p w14:paraId="337F63AC">
            <w:pPr>
              <w:widowControl/>
              <w:spacing w:line="276" w:lineRule="auto"/>
              <w:rPr>
                <w:rFonts w:asciiTheme="minorEastAsia" w:hAnsiTheme="minorEastAsia" w:eastAsiaTheme="minorEastAsia"/>
                <w:szCs w:val="21"/>
              </w:rPr>
            </w:pPr>
          </w:p>
        </w:tc>
      </w:tr>
      <w:tr w14:paraId="1A8BA23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607" w:hRule="atLeast"/>
          <w:jc w:val="center"/>
        </w:trPr>
        <w:tc>
          <w:tcPr>
            <w:tcW w:w="631" w:type="dxa"/>
            <w:vMerge w:val="continue"/>
            <w:vAlign w:val="center"/>
          </w:tcPr>
          <w:p w14:paraId="5E9307AC">
            <w:pPr>
              <w:jc w:val="center"/>
              <w:rPr>
                <w:rFonts w:ascii="宋体" w:hAnsi="宋体"/>
                <w:b/>
                <w:sz w:val="24"/>
                <w:szCs w:val="21"/>
              </w:rPr>
            </w:pPr>
          </w:p>
        </w:tc>
        <w:tc>
          <w:tcPr>
            <w:tcW w:w="1517" w:type="dxa"/>
            <w:vAlign w:val="center"/>
          </w:tcPr>
          <w:p w14:paraId="76847E46">
            <w:pPr>
              <w:spacing w:line="276" w:lineRule="auto"/>
              <w:jc w:val="center"/>
              <w:rPr>
                <w:rFonts w:cs="宋体" w:asciiTheme="minorEastAsia" w:hAnsiTheme="minorEastAsia" w:eastAsiaTheme="minorEastAsia"/>
                <w:szCs w:val="21"/>
              </w:rPr>
            </w:pPr>
            <w:r>
              <w:rPr>
                <w:rFonts w:hint="eastAsia" w:ascii="宋体" w:hAnsi="宋体"/>
                <w:color w:val="000000"/>
                <w:szCs w:val="21"/>
              </w:rPr>
              <w:t>中证1000</w:t>
            </w:r>
          </w:p>
        </w:tc>
        <w:tc>
          <w:tcPr>
            <w:tcW w:w="1134" w:type="dxa"/>
            <w:vAlign w:val="center"/>
          </w:tcPr>
          <w:p w14:paraId="74D255E8">
            <w:pPr>
              <w:spacing w:line="276" w:lineRule="auto"/>
              <w:jc w:val="center"/>
              <w:rPr>
                <w:color w:val="000000"/>
                <w:szCs w:val="21"/>
              </w:rPr>
            </w:pPr>
            <w:r>
              <w:rPr>
                <w:rFonts w:hint="eastAsia" w:ascii="宋体" w:hAnsi="宋体"/>
                <w:color w:val="000000"/>
                <w:szCs w:val="21"/>
              </w:rPr>
              <w:t>反弹</w:t>
            </w:r>
          </w:p>
        </w:tc>
        <w:tc>
          <w:tcPr>
            <w:tcW w:w="6804" w:type="dxa"/>
            <w:vMerge w:val="continue"/>
            <w:shd w:val="clear" w:color="auto" w:fill="auto"/>
            <w:vAlign w:val="top"/>
          </w:tcPr>
          <w:p w14:paraId="5F256E13">
            <w:pPr>
              <w:widowControl/>
              <w:spacing w:line="276" w:lineRule="auto"/>
              <w:rPr>
                <w:rFonts w:asciiTheme="minorEastAsia" w:hAnsiTheme="minorEastAsia" w:eastAsiaTheme="minorEastAsia"/>
                <w:szCs w:val="21"/>
              </w:rPr>
            </w:pPr>
          </w:p>
        </w:tc>
      </w:tr>
      <w:tr w14:paraId="425328A1">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759" w:hRule="atLeast"/>
          <w:jc w:val="center"/>
        </w:trPr>
        <w:tc>
          <w:tcPr>
            <w:tcW w:w="631" w:type="dxa"/>
            <w:vMerge w:val="continue"/>
            <w:vAlign w:val="center"/>
          </w:tcPr>
          <w:p w14:paraId="3A25F40B">
            <w:pPr>
              <w:jc w:val="center"/>
              <w:rPr>
                <w:rFonts w:ascii="宋体" w:hAnsi="宋体"/>
                <w:b/>
                <w:sz w:val="24"/>
                <w:szCs w:val="21"/>
              </w:rPr>
            </w:pPr>
          </w:p>
        </w:tc>
        <w:tc>
          <w:tcPr>
            <w:tcW w:w="1517" w:type="dxa"/>
            <w:vAlign w:val="center"/>
          </w:tcPr>
          <w:p w14:paraId="07D03E2F">
            <w:pPr>
              <w:spacing w:line="276" w:lineRule="auto"/>
              <w:jc w:val="center"/>
              <w:rPr>
                <w:rFonts w:cs="宋体" w:asciiTheme="minorEastAsia" w:hAnsiTheme="minorEastAsia" w:eastAsiaTheme="minorEastAsia"/>
                <w:szCs w:val="21"/>
              </w:rPr>
            </w:pPr>
            <w:r>
              <w:rPr>
                <w:rFonts w:hint="eastAsia" w:ascii="宋体" w:hAnsi="宋体"/>
                <w:color w:val="000000"/>
                <w:szCs w:val="21"/>
              </w:rPr>
              <w:t>2年期国债</w:t>
            </w:r>
          </w:p>
        </w:tc>
        <w:tc>
          <w:tcPr>
            <w:tcW w:w="1134" w:type="dxa"/>
            <w:vAlign w:val="center"/>
          </w:tcPr>
          <w:p w14:paraId="4F81D61B">
            <w:pPr>
              <w:spacing w:line="276" w:lineRule="auto"/>
              <w:jc w:val="center"/>
              <w:rPr>
                <w:color w:val="000000"/>
                <w:szCs w:val="21"/>
              </w:rPr>
            </w:pPr>
            <w:r>
              <w:rPr>
                <w:rFonts w:hint="eastAsia" w:ascii="宋体" w:hAnsi="宋体"/>
                <w:color w:val="000000"/>
                <w:szCs w:val="21"/>
              </w:rPr>
              <w:t>震荡</w:t>
            </w:r>
          </w:p>
        </w:tc>
        <w:tc>
          <w:tcPr>
            <w:tcW w:w="6804" w:type="dxa"/>
            <w:vMerge w:val="continue"/>
            <w:shd w:val="clear" w:color="auto" w:fill="auto"/>
            <w:vAlign w:val="top"/>
          </w:tcPr>
          <w:p w14:paraId="2B8DF9FD">
            <w:pPr>
              <w:widowControl/>
              <w:spacing w:line="276" w:lineRule="auto"/>
              <w:rPr>
                <w:rFonts w:asciiTheme="minorEastAsia" w:hAnsiTheme="minorEastAsia" w:eastAsiaTheme="minorEastAsia"/>
                <w:szCs w:val="21"/>
              </w:rPr>
            </w:pPr>
          </w:p>
        </w:tc>
      </w:tr>
      <w:tr w14:paraId="4879AD0D">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08" w:hRule="atLeast"/>
          <w:jc w:val="center"/>
        </w:trPr>
        <w:tc>
          <w:tcPr>
            <w:tcW w:w="631" w:type="dxa"/>
            <w:vMerge w:val="continue"/>
            <w:vAlign w:val="center"/>
          </w:tcPr>
          <w:p w14:paraId="3C2C5330">
            <w:pPr>
              <w:jc w:val="center"/>
              <w:rPr>
                <w:rFonts w:ascii="宋体" w:hAnsi="宋体"/>
                <w:b/>
                <w:sz w:val="24"/>
                <w:szCs w:val="21"/>
              </w:rPr>
            </w:pPr>
          </w:p>
        </w:tc>
        <w:tc>
          <w:tcPr>
            <w:tcW w:w="1517" w:type="dxa"/>
            <w:vAlign w:val="center"/>
          </w:tcPr>
          <w:p w14:paraId="1071D928">
            <w:pPr>
              <w:spacing w:line="276" w:lineRule="auto"/>
              <w:jc w:val="center"/>
              <w:rPr>
                <w:rFonts w:cs="宋体" w:asciiTheme="minorEastAsia" w:hAnsiTheme="minorEastAsia" w:eastAsiaTheme="minorEastAsia"/>
                <w:szCs w:val="21"/>
              </w:rPr>
            </w:pPr>
            <w:r>
              <w:rPr>
                <w:rFonts w:hint="eastAsia" w:ascii="宋体" w:hAnsi="宋体"/>
                <w:color w:val="000000"/>
                <w:szCs w:val="21"/>
              </w:rPr>
              <w:t>5年期国债</w:t>
            </w:r>
          </w:p>
        </w:tc>
        <w:tc>
          <w:tcPr>
            <w:tcW w:w="1134" w:type="dxa"/>
            <w:vAlign w:val="center"/>
          </w:tcPr>
          <w:p w14:paraId="4E208C3E">
            <w:pPr>
              <w:spacing w:line="276" w:lineRule="auto"/>
              <w:jc w:val="center"/>
              <w:rPr>
                <w:color w:val="000000"/>
                <w:szCs w:val="21"/>
              </w:rPr>
            </w:pPr>
            <w:r>
              <w:rPr>
                <w:rFonts w:hint="eastAsia" w:ascii="宋体" w:hAnsi="宋体"/>
                <w:color w:val="000000"/>
                <w:szCs w:val="21"/>
              </w:rPr>
              <w:t>震荡</w:t>
            </w:r>
          </w:p>
        </w:tc>
        <w:tc>
          <w:tcPr>
            <w:tcW w:w="6804" w:type="dxa"/>
            <w:vMerge w:val="continue"/>
            <w:shd w:val="clear" w:color="auto" w:fill="auto"/>
            <w:vAlign w:val="top"/>
          </w:tcPr>
          <w:p w14:paraId="5423DAE7">
            <w:pPr>
              <w:widowControl/>
              <w:spacing w:line="276" w:lineRule="auto"/>
              <w:rPr>
                <w:rFonts w:asciiTheme="minorEastAsia" w:hAnsiTheme="minorEastAsia" w:eastAsiaTheme="minorEastAsia"/>
                <w:szCs w:val="21"/>
              </w:rPr>
            </w:pPr>
          </w:p>
        </w:tc>
      </w:tr>
      <w:tr w14:paraId="0960146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136" w:hRule="atLeast"/>
          <w:jc w:val="center"/>
        </w:trPr>
        <w:tc>
          <w:tcPr>
            <w:tcW w:w="631" w:type="dxa"/>
            <w:vMerge w:val="continue"/>
            <w:vAlign w:val="center"/>
          </w:tcPr>
          <w:p w14:paraId="0408455F">
            <w:pPr>
              <w:jc w:val="center"/>
              <w:rPr>
                <w:rFonts w:ascii="宋体" w:hAnsi="宋体"/>
                <w:b/>
                <w:sz w:val="24"/>
                <w:szCs w:val="21"/>
              </w:rPr>
            </w:pPr>
          </w:p>
        </w:tc>
        <w:tc>
          <w:tcPr>
            <w:tcW w:w="1517" w:type="dxa"/>
            <w:vAlign w:val="center"/>
          </w:tcPr>
          <w:p w14:paraId="2B2D6A8B">
            <w:pPr>
              <w:spacing w:line="276" w:lineRule="auto"/>
              <w:jc w:val="center"/>
              <w:rPr>
                <w:rFonts w:cs="宋体" w:asciiTheme="minorEastAsia" w:hAnsiTheme="minorEastAsia" w:eastAsiaTheme="minorEastAsia"/>
                <w:szCs w:val="21"/>
              </w:rPr>
            </w:pPr>
            <w:r>
              <w:rPr>
                <w:rFonts w:hint="eastAsia" w:ascii="宋体" w:hAnsi="宋体"/>
                <w:color w:val="000000"/>
                <w:szCs w:val="21"/>
              </w:rPr>
              <w:t>10年期国债</w:t>
            </w:r>
          </w:p>
        </w:tc>
        <w:tc>
          <w:tcPr>
            <w:tcW w:w="1134" w:type="dxa"/>
            <w:vAlign w:val="center"/>
          </w:tcPr>
          <w:p w14:paraId="29312F0D">
            <w:pPr>
              <w:spacing w:line="276" w:lineRule="auto"/>
              <w:jc w:val="center"/>
              <w:rPr>
                <w:color w:val="000000"/>
                <w:szCs w:val="21"/>
              </w:rPr>
            </w:pPr>
            <w:r>
              <w:rPr>
                <w:rFonts w:hint="eastAsia" w:ascii="宋体" w:hAnsi="宋体"/>
                <w:color w:val="000000"/>
                <w:szCs w:val="21"/>
              </w:rPr>
              <w:t>反弹</w:t>
            </w:r>
          </w:p>
        </w:tc>
        <w:tc>
          <w:tcPr>
            <w:tcW w:w="6804" w:type="dxa"/>
            <w:vMerge w:val="continue"/>
            <w:shd w:val="clear" w:color="auto" w:fill="auto"/>
            <w:vAlign w:val="top"/>
          </w:tcPr>
          <w:p w14:paraId="0B20F948">
            <w:pPr>
              <w:rPr>
                <w:rFonts w:asciiTheme="minorEastAsia" w:hAnsiTheme="minorEastAsia" w:eastAsiaTheme="minorEastAsia"/>
                <w:szCs w:val="21"/>
              </w:rPr>
            </w:pPr>
          </w:p>
        </w:tc>
      </w:tr>
      <w:tr w14:paraId="3A07BA6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201" w:hRule="atLeast"/>
          <w:jc w:val="center"/>
        </w:trPr>
        <w:tc>
          <w:tcPr>
            <w:tcW w:w="631" w:type="dxa"/>
            <w:vMerge w:val="restart"/>
            <w:vAlign w:val="center"/>
          </w:tcPr>
          <w:p w14:paraId="50885CF9">
            <w:pPr>
              <w:jc w:val="center"/>
              <w:rPr>
                <w:rFonts w:ascii="宋体" w:hAnsi="宋体"/>
                <w:b/>
                <w:sz w:val="24"/>
                <w:szCs w:val="21"/>
              </w:rPr>
            </w:pPr>
            <w:r>
              <w:rPr>
                <w:rFonts w:hint="eastAsia" w:ascii="宋体" w:hAnsi="宋体"/>
                <w:b/>
                <w:sz w:val="24"/>
                <w:szCs w:val="21"/>
              </w:rPr>
              <w:t>贵金属</w:t>
            </w:r>
          </w:p>
        </w:tc>
        <w:tc>
          <w:tcPr>
            <w:tcW w:w="1517" w:type="dxa"/>
            <w:vAlign w:val="center"/>
          </w:tcPr>
          <w:p w14:paraId="5CA683ED">
            <w:pPr>
              <w:jc w:val="center"/>
              <w:rPr>
                <w:rFonts w:ascii="宋体" w:hAnsi="宋体"/>
                <w:szCs w:val="21"/>
              </w:rPr>
            </w:pPr>
            <w:r>
              <w:rPr>
                <w:rFonts w:hint="eastAsia" w:ascii="宋体" w:hAnsi="宋体"/>
                <w:szCs w:val="21"/>
              </w:rPr>
              <w:t>黄金</w:t>
            </w:r>
          </w:p>
        </w:tc>
        <w:tc>
          <w:tcPr>
            <w:tcW w:w="1134" w:type="dxa"/>
            <w:vAlign w:val="center"/>
          </w:tcPr>
          <w:p w14:paraId="38F4A6D4">
            <w:pPr>
              <w:jc w:val="center"/>
              <w:rPr>
                <w:rFonts w:ascii="宋体" w:hAnsi="宋体"/>
                <w:color w:val="000000"/>
                <w:szCs w:val="21"/>
              </w:rPr>
            </w:pPr>
            <w:r>
              <w:rPr>
                <w:rFonts w:hint="eastAsia" w:ascii="宋体" w:hAnsi="宋体"/>
                <w:color w:val="000000"/>
                <w:szCs w:val="21"/>
              </w:rPr>
              <w:t>震荡</w:t>
            </w:r>
          </w:p>
        </w:tc>
        <w:tc>
          <w:tcPr>
            <w:tcW w:w="6804" w:type="dxa"/>
            <w:vMerge w:val="restart"/>
            <w:shd w:val="clear" w:color="auto" w:fill="auto"/>
            <w:vAlign w:val="top"/>
          </w:tcPr>
          <w:p w14:paraId="4855A296">
            <w:pPr>
              <w:rPr>
                <w:rFonts w:ascii="宋体" w:hAnsi="宋体"/>
                <w:bCs/>
                <w:szCs w:val="21"/>
              </w:rPr>
            </w:pPr>
            <w:r>
              <w:rPr>
                <w:rFonts w:hint="eastAsia" w:ascii="宋体" w:hAnsi="宋体"/>
                <w:b/>
                <w:bCs/>
                <w:szCs w:val="21"/>
              </w:rPr>
              <w:t>黄金</w:t>
            </w:r>
            <w:r>
              <w:rPr>
                <w:rFonts w:hint="eastAsia" w:ascii="宋体" w:hAnsi="宋体"/>
                <w:szCs w:val="21"/>
              </w:rPr>
              <w:t>：在地缘扰动和高利率环境下，黄金的定价机制正在由传统的以实际利率为核心向</w:t>
            </w:r>
            <w:r>
              <w:t>以央行购金为核心</w:t>
            </w:r>
            <w:r>
              <w:rPr>
                <w:rFonts w:hint="eastAsia"/>
              </w:rPr>
              <w:t>转变。全球央行购金的行为是关键，背后是“去中心化”、地缘避险等需求的集中体现。货币属性方面，债务问题导致美元的货币信用出现裂痕，在去美元化进程中黄金的去法币化属性凸显。金融属性方面，在全球高利率环境下，黄</w:t>
            </w:r>
            <w:r>
              <w:rPr>
                <w:rFonts w:hint="eastAsia" w:ascii="宋体" w:hAnsi="宋体"/>
                <w:szCs w:val="21"/>
              </w:rPr>
              <w:t>金作为零息债对债券的替代效应减弱，对美债实际利率的敏感度下降。</w:t>
            </w:r>
            <w:r>
              <w:rPr>
                <w:rFonts w:ascii="宋体" w:hAnsi="宋体"/>
                <w:szCs w:val="21"/>
              </w:rPr>
              <w:t>避险属性方面</w:t>
            </w:r>
            <w:r>
              <w:rPr>
                <w:rFonts w:hint="eastAsia" w:ascii="宋体" w:hAnsi="宋体"/>
                <w:szCs w:val="21"/>
              </w:rPr>
              <w:t>，</w:t>
            </w:r>
            <w:r>
              <w:rPr>
                <w:rFonts w:ascii="宋体" w:hAnsi="宋体"/>
                <w:szCs w:val="21"/>
              </w:rPr>
              <w:t>2022</w:t>
            </w:r>
            <w:r>
              <w:rPr>
                <w:rFonts w:hint="eastAsia" w:ascii="宋体" w:hAnsi="宋体"/>
                <w:szCs w:val="21"/>
              </w:rPr>
              <w:t>年的俄乌冲突、2023年的巴以冲突等地缘政治事件，市场不确定性增强引发避险需求，</w:t>
            </w:r>
            <w:r>
              <w:rPr>
                <w:rFonts w:ascii="宋体" w:hAnsi="宋体"/>
                <w:szCs w:val="21"/>
              </w:rPr>
              <w:t>成为阶段性推升黄金价格的重要因素。商品属性方面，中国实物金需求明显上升，人民币金溢价也提升了其投资吸引力。</w:t>
            </w:r>
            <w:r>
              <w:rPr>
                <w:rFonts w:hint="eastAsia"/>
              </w:rPr>
              <w:t>目前来看，</w:t>
            </w:r>
            <w:r>
              <w:rPr>
                <w:rFonts w:hint="eastAsia" w:ascii="宋体" w:hAnsi="宋体"/>
                <w:szCs w:val="21"/>
              </w:rPr>
              <w:t>美联储开启降息周期支撑贵金属价格，</w:t>
            </w:r>
            <w:r>
              <w:rPr>
                <w:rFonts w:hint="eastAsia"/>
              </w:rPr>
              <w:t>虽然推升本轮金价上涨的逻辑没有完全逆转，但已经出现新的扰动因素，市场对特朗普政策预期减弱，地缘政治风险重新受到市场关注，预计贵金属不会像之前一样顺畅性上涨，但仍存在一定支撑</w:t>
            </w:r>
            <w:r>
              <w:t>。</w:t>
            </w:r>
          </w:p>
        </w:tc>
      </w:tr>
      <w:tr w14:paraId="7A655909">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514" w:hRule="atLeast"/>
          <w:jc w:val="center"/>
        </w:trPr>
        <w:tc>
          <w:tcPr>
            <w:tcW w:w="631" w:type="dxa"/>
            <w:vMerge w:val="continue"/>
            <w:vAlign w:val="center"/>
          </w:tcPr>
          <w:p w14:paraId="593E3E92">
            <w:pPr>
              <w:jc w:val="center"/>
              <w:rPr>
                <w:rFonts w:ascii="宋体" w:hAnsi="宋体"/>
                <w:b/>
                <w:sz w:val="24"/>
                <w:szCs w:val="21"/>
              </w:rPr>
            </w:pPr>
          </w:p>
        </w:tc>
        <w:tc>
          <w:tcPr>
            <w:tcW w:w="1517" w:type="dxa"/>
            <w:vAlign w:val="center"/>
          </w:tcPr>
          <w:p w14:paraId="0E6CEFF9">
            <w:pPr>
              <w:jc w:val="center"/>
              <w:rPr>
                <w:rFonts w:ascii="宋体" w:hAnsi="宋体" w:cs="宋体"/>
                <w:szCs w:val="21"/>
              </w:rPr>
            </w:pPr>
            <w:r>
              <w:rPr>
                <w:rFonts w:hint="eastAsia" w:ascii="宋体" w:hAnsi="宋体"/>
                <w:szCs w:val="21"/>
              </w:rPr>
              <w:t>白银</w:t>
            </w:r>
          </w:p>
        </w:tc>
        <w:tc>
          <w:tcPr>
            <w:tcW w:w="1134" w:type="dxa"/>
            <w:vAlign w:val="center"/>
          </w:tcPr>
          <w:p w14:paraId="430DBF27">
            <w:pPr>
              <w:jc w:val="center"/>
              <w:rPr>
                <w:rFonts w:ascii="宋体" w:hAnsi="宋体" w:cs="宋体"/>
                <w:color w:val="000000"/>
                <w:szCs w:val="21"/>
              </w:rPr>
            </w:pPr>
            <w:r>
              <w:rPr>
                <w:rFonts w:hint="eastAsia" w:ascii="宋体" w:hAnsi="宋体"/>
                <w:color w:val="000000"/>
                <w:szCs w:val="21"/>
              </w:rPr>
              <w:t>震荡</w:t>
            </w:r>
          </w:p>
        </w:tc>
        <w:tc>
          <w:tcPr>
            <w:tcW w:w="6804" w:type="dxa"/>
            <w:vMerge w:val="continue"/>
            <w:shd w:val="clear" w:color="auto" w:fill="auto"/>
            <w:vAlign w:val="top"/>
          </w:tcPr>
          <w:p w14:paraId="167465FD">
            <w:pPr>
              <w:rPr>
                <w:rFonts w:asciiTheme="minorEastAsia" w:hAnsiTheme="minorEastAsia" w:eastAsiaTheme="minorEastAsia"/>
                <w:szCs w:val="21"/>
              </w:rPr>
            </w:pPr>
          </w:p>
        </w:tc>
      </w:tr>
      <w:tr w14:paraId="30CB992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67" w:hRule="atLeast"/>
          <w:jc w:val="center"/>
        </w:trPr>
        <w:tc>
          <w:tcPr>
            <w:tcW w:w="631" w:type="dxa"/>
            <w:vMerge w:val="restart"/>
            <w:vAlign w:val="center"/>
          </w:tcPr>
          <w:p w14:paraId="46E781AF">
            <w:pPr>
              <w:jc w:val="center"/>
              <w:rPr>
                <w:rFonts w:ascii="宋体" w:hAnsi="宋体"/>
                <w:b/>
                <w:sz w:val="24"/>
                <w:szCs w:val="21"/>
              </w:rPr>
            </w:pPr>
          </w:p>
          <w:p w14:paraId="439CB0FF">
            <w:pPr>
              <w:jc w:val="center"/>
              <w:rPr>
                <w:rFonts w:ascii="宋体" w:hAnsi="宋体"/>
                <w:b/>
                <w:sz w:val="24"/>
                <w:szCs w:val="21"/>
              </w:rPr>
            </w:pPr>
          </w:p>
          <w:p w14:paraId="0E93B780">
            <w:pPr>
              <w:jc w:val="center"/>
              <w:rPr>
                <w:rFonts w:ascii="宋体" w:hAnsi="宋体"/>
                <w:b/>
                <w:sz w:val="24"/>
                <w:szCs w:val="21"/>
              </w:rPr>
            </w:pPr>
          </w:p>
          <w:p w14:paraId="4A89E984">
            <w:pPr>
              <w:jc w:val="center"/>
              <w:rPr>
                <w:rFonts w:ascii="宋体" w:hAnsi="宋体"/>
                <w:b/>
                <w:sz w:val="24"/>
                <w:szCs w:val="21"/>
              </w:rPr>
            </w:pPr>
          </w:p>
          <w:p w14:paraId="306AEB77">
            <w:pPr>
              <w:jc w:val="center"/>
              <w:rPr>
                <w:rFonts w:ascii="宋体" w:hAnsi="宋体"/>
                <w:b/>
                <w:sz w:val="24"/>
                <w:szCs w:val="21"/>
              </w:rPr>
            </w:pPr>
            <w:r>
              <w:rPr>
                <w:rFonts w:hint="eastAsia" w:ascii="宋体" w:hAnsi="宋体"/>
                <w:b/>
                <w:sz w:val="24"/>
                <w:szCs w:val="21"/>
              </w:rPr>
              <w:t>有色金属</w:t>
            </w:r>
          </w:p>
        </w:tc>
        <w:tc>
          <w:tcPr>
            <w:tcW w:w="1517" w:type="dxa"/>
            <w:vAlign w:val="center"/>
          </w:tcPr>
          <w:p w14:paraId="10C11360">
            <w:pPr>
              <w:jc w:val="center"/>
              <w:rPr>
                <w:rFonts w:ascii="宋体" w:cs="宋体"/>
                <w:szCs w:val="21"/>
              </w:rPr>
            </w:pPr>
            <w:r>
              <w:rPr>
                <w:rFonts w:hint="eastAsia" w:ascii="宋体" w:cs="宋体"/>
                <w:szCs w:val="21"/>
              </w:rPr>
              <w:t>铜</w:t>
            </w:r>
          </w:p>
        </w:tc>
        <w:tc>
          <w:tcPr>
            <w:tcW w:w="1134" w:type="dxa"/>
            <w:vAlign w:val="center"/>
          </w:tcPr>
          <w:p w14:paraId="4E37B493">
            <w:pPr>
              <w:jc w:val="center"/>
            </w:pPr>
            <w:r>
              <w:rPr>
                <w:rFonts w:hint="eastAsia"/>
              </w:rPr>
              <w:t>震荡整理</w:t>
            </w:r>
          </w:p>
        </w:tc>
        <w:tc>
          <w:tcPr>
            <w:tcW w:w="6804" w:type="dxa"/>
            <w:vMerge w:val="restart"/>
            <w:shd w:val="clear" w:color="auto" w:fill="auto"/>
            <w:vAlign w:val="top"/>
          </w:tcPr>
          <w:p w14:paraId="73B87060">
            <w:pPr>
              <w:rPr>
                <w:rFonts w:ascii="宋体" w:cs="Times New Roman"/>
                <w:szCs w:val="21"/>
              </w:rPr>
            </w:pPr>
            <w:r>
              <w:rPr>
                <w:rFonts w:hint="eastAsia" w:ascii="宋体" w:cs="Times New Roman"/>
                <w:b/>
                <w:bCs/>
                <w:szCs w:val="21"/>
              </w:rPr>
              <w:t>铜：</w:t>
            </w:r>
            <w:r>
              <w:rPr>
                <w:rFonts w:hint="eastAsia" w:ascii="宋体" w:cs="Times New Roman"/>
                <w:bCs/>
                <w:szCs w:val="21"/>
              </w:rPr>
              <w:t>宏观面</w:t>
            </w:r>
            <w:r>
              <w:rPr>
                <w:rFonts w:hint="eastAsia" w:ascii="宋体" w:cs="Times New Roman"/>
                <w:color w:val="000000"/>
                <w:szCs w:val="21"/>
              </w:rPr>
              <w:t>：为应对外部环境变化，国内宽财政政策举措将分批次，有节奏推出，铜价运行节奏或先抑后扬。目前，市场对后续加征关税存担忧情绪，短期美元走强承压铜价，铜价寻箱底支撑。中期出口退税调降对中下游影响偏大，内外价差扩大，外盘或偏强于内盘。长期能源转型与科技变革背景下，叠加美元宽松周期开启，叠加贸易保护背景下全球通胀水平抬升，铜价底部区间稳步抬升。</w:t>
            </w:r>
          </w:p>
          <w:p w14:paraId="036EDFA8">
            <w:pPr>
              <w:rPr>
                <w:rFonts w:ascii="宋体" w:cs="Times New Roman"/>
                <w:color w:val="000000"/>
                <w:szCs w:val="21"/>
              </w:rPr>
            </w:pPr>
            <w:r>
              <w:rPr>
                <w:rFonts w:hint="eastAsia" w:ascii="宋体" w:cs="Times New Roman"/>
                <w:b/>
                <w:bCs/>
                <w:szCs w:val="21"/>
              </w:rPr>
              <w:t>铝：</w:t>
            </w:r>
            <w:r>
              <w:rPr>
                <w:rFonts w:hint="eastAsia" w:ascii="宋体" w:cs="Times New Roman"/>
                <w:bCs/>
                <w:szCs w:val="21"/>
              </w:rPr>
              <w:t>铝土矿产量受限，氧化铝供应阶段收紧，国内电解铝供应增加幅度有限。近期铝下游开工因环保问题回落，但成本抬升，叠加去库，铝价下方支撑较强。</w:t>
            </w:r>
            <w:r>
              <w:rPr>
                <w:rFonts w:hint="eastAsia" w:ascii="宋体" w:cs="Times New Roman"/>
                <w:color w:val="000000"/>
                <w:szCs w:val="21"/>
              </w:rPr>
              <w:t>政策助力地产筑底回稳，利于短期铝价筑底反弹。中期出口退税调降对中下游影响偏大，内外价差扩大，外盘或偏强于内盘。长期铝价似乎已摆脱地产疲软束缚，走出新兴行业驱动的逻辑。长期能源转型与碳中和背景下，铝价底部区间稳步抬升。</w:t>
            </w:r>
          </w:p>
          <w:p w14:paraId="6654C3E6">
            <w:pPr>
              <w:rPr>
                <w:rFonts w:ascii="宋体" w:cs="Times New Roman"/>
                <w:color w:val="000000"/>
                <w:szCs w:val="21"/>
              </w:rPr>
            </w:pPr>
            <w:r>
              <w:rPr>
                <w:rFonts w:hint="eastAsia" w:ascii="宋体" w:cs="Times New Roman"/>
                <w:b/>
                <w:color w:val="000000"/>
                <w:szCs w:val="21"/>
              </w:rPr>
              <w:t>碳酸锂：</w:t>
            </w:r>
            <w:r>
              <w:rPr>
                <w:rFonts w:hint="eastAsia" w:ascii="宋体" w:cs="Times New Roman"/>
                <w:color w:val="000000"/>
                <w:szCs w:val="21"/>
              </w:rPr>
              <w:t>中长期碳酸锂供需格局宽松，未来5年碳酸锂产能持续扩张，但近期因国内政策严控锂新增产能扩张刺激锂价反弹，中期锂价仍处于磨底状态。终端锂电需求高速增长转为平稳增速，供给增速高于需求增速。目前国内外购锂辉石和锂云母的碳酸锂企业生产成本10-15万元/吨，国内盐湖提锂企业成本5-8万元/吨，整体成本偏低，叠加供大于求，预计进入下降趋势末端，磨底时间较长。</w:t>
            </w:r>
          </w:p>
          <w:p w14:paraId="07118D09">
            <w:pPr>
              <w:rPr>
                <w:rFonts w:ascii="宋体"/>
                <w:b/>
                <w:color w:val="000000"/>
                <w:szCs w:val="21"/>
              </w:rPr>
            </w:pPr>
            <w:r>
              <w:rPr>
                <w:rFonts w:hint="eastAsia" w:ascii="宋体" w:cs="Times New Roman"/>
                <w:b/>
                <w:color w:val="000000"/>
                <w:szCs w:val="21"/>
              </w:rPr>
              <w:t>镍：</w:t>
            </w:r>
            <w:r>
              <w:rPr>
                <w:rFonts w:hint="eastAsia" w:ascii="宋体" w:cs="Times New Roman"/>
                <w:color w:val="000000"/>
                <w:szCs w:val="21"/>
              </w:rPr>
              <w:t>印尼镍铁流入市场，镍铁供应增加。二级镍产能释放将带动转化为原生镍产量过剩。下游不锈钢需求受益于部分基建项目托底影响，但同时也受地产链条疲软承压。合金方面，军工订单纯镍刚需仍存，民用订单纯镍消耗量有所回升，需求较为平稳。但中期需关注产能释放及外部环境不确定性对镍价形成承压。</w:t>
            </w:r>
          </w:p>
        </w:tc>
      </w:tr>
      <w:tr w14:paraId="41CB30A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51" w:hRule="atLeast"/>
          <w:jc w:val="center"/>
        </w:trPr>
        <w:tc>
          <w:tcPr>
            <w:tcW w:w="631" w:type="dxa"/>
            <w:vMerge w:val="continue"/>
            <w:vAlign w:val="center"/>
          </w:tcPr>
          <w:p w14:paraId="44660F0B">
            <w:pPr>
              <w:jc w:val="center"/>
              <w:rPr>
                <w:rFonts w:ascii="宋体" w:hAnsi="宋体"/>
                <w:b/>
                <w:sz w:val="24"/>
                <w:szCs w:val="21"/>
              </w:rPr>
            </w:pPr>
          </w:p>
        </w:tc>
        <w:tc>
          <w:tcPr>
            <w:tcW w:w="1517" w:type="dxa"/>
            <w:vAlign w:val="center"/>
          </w:tcPr>
          <w:p w14:paraId="44A9799D">
            <w:pPr>
              <w:jc w:val="center"/>
              <w:rPr>
                <w:rFonts w:ascii="宋体" w:hAnsi="宋体" w:cs="宋体"/>
                <w:szCs w:val="21"/>
              </w:rPr>
            </w:pPr>
            <w:r>
              <w:rPr>
                <w:rFonts w:hint="eastAsia" w:ascii="宋体" w:cs="宋体"/>
                <w:szCs w:val="21"/>
              </w:rPr>
              <w:t>铝</w:t>
            </w:r>
          </w:p>
        </w:tc>
        <w:tc>
          <w:tcPr>
            <w:tcW w:w="1134" w:type="dxa"/>
            <w:vAlign w:val="center"/>
          </w:tcPr>
          <w:p w14:paraId="08032C4F">
            <w:r>
              <w:rPr>
                <w:rFonts w:hint="eastAsia"/>
              </w:rPr>
              <w:t>震荡整理</w:t>
            </w:r>
          </w:p>
        </w:tc>
        <w:tc>
          <w:tcPr>
            <w:tcW w:w="6804" w:type="dxa"/>
            <w:vMerge w:val="continue"/>
            <w:shd w:val="clear" w:color="auto" w:fill="auto"/>
            <w:vAlign w:val="top"/>
          </w:tcPr>
          <w:p w14:paraId="3044B3F5">
            <w:pPr>
              <w:rPr>
                <w:rFonts w:asciiTheme="minorEastAsia" w:hAnsiTheme="minorEastAsia"/>
                <w:sz w:val="24"/>
              </w:rPr>
            </w:pPr>
          </w:p>
        </w:tc>
      </w:tr>
      <w:tr w14:paraId="3BF63EA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69" w:hRule="atLeast"/>
          <w:jc w:val="center"/>
        </w:trPr>
        <w:tc>
          <w:tcPr>
            <w:tcW w:w="631" w:type="dxa"/>
            <w:vMerge w:val="continue"/>
            <w:vAlign w:val="center"/>
          </w:tcPr>
          <w:p w14:paraId="3D3D7EB9">
            <w:pPr>
              <w:jc w:val="center"/>
              <w:rPr>
                <w:rFonts w:ascii="宋体" w:hAnsi="宋体"/>
                <w:b/>
                <w:sz w:val="24"/>
                <w:szCs w:val="21"/>
              </w:rPr>
            </w:pPr>
          </w:p>
        </w:tc>
        <w:tc>
          <w:tcPr>
            <w:tcW w:w="1517" w:type="dxa"/>
            <w:vAlign w:val="center"/>
          </w:tcPr>
          <w:p w14:paraId="6CCDB7DA">
            <w:pPr>
              <w:jc w:val="center"/>
              <w:rPr>
                <w:rFonts w:ascii="宋体" w:hAnsi="宋体" w:cs="宋体"/>
                <w:szCs w:val="21"/>
              </w:rPr>
            </w:pPr>
            <w:r>
              <w:rPr>
                <w:rFonts w:hint="eastAsia" w:ascii="宋体" w:cs="宋体"/>
                <w:szCs w:val="21"/>
              </w:rPr>
              <w:t>锌</w:t>
            </w:r>
          </w:p>
        </w:tc>
        <w:tc>
          <w:tcPr>
            <w:tcW w:w="1134" w:type="dxa"/>
            <w:vAlign w:val="center"/>
          </w:tcPr>
          <w:p w14:paraId="230230A2">
            <w:r>
              <w:rPr>
                <w:rFonts w:hint="eastAsia"/>
              </w:rPr>
              <w:t>震荡整理</w:t>
            </w:r>
          </w:p>
        </w:tc>
        <w:tc>
          <w:tcPr>
            <w:tcW w:w="6804" w:type="dxa"/>
            <w:vMerge w:val="continue"/>
            <w:shd w:val="clear" w:color="auto" w:fill="auto"/>
            <w:vAlign w:val="top"/>
          </w:tcPr>
          <w:p w14:paraId="2388D14F">
            <w:pPr>
              <w:rPr>
                <w:rFonts w:asciiTheme="minorEastAsia" w:hAnsiTheme="minorEastAsia"/>
                <w:sz w:val="24"/>
              </w:rPr>
            </w:pPr>
          </w:p>
        </w:tc>
      </w:tr>
      <w:tr w14:paraId="55F3BEA8">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70" w:hRule="atLeast"/>
          <w:jc w:val="center"/>
        </w:trPr>
        <w:tc>
          <w:tcPr>
            <w:tcW w:w="631" w:type="dxa"/>
            <w:vMerge w:val="continue"/>
            <w:vAlign w:val="center"/>
          </w:tcPr>
          <w:p w14:paraId="717AEE69">
            <w:pPr>
              <w:jc w:val="center"/>
              <w:rPr>
                <w:rFonts w:ascii="宋体" w:hAnsi="宋体"/>
                <w:b/>
                <w:sz w:val="24"/>
                <w:szCs w:val="21"/>
              </w:rPr>
            </w:pPr>
          </w:p>
        </w:tc>
        <w:tc>
          <w:tcPr>
            <w:tcW w:w="1517" w:type="dxa"/>
            <w:vAlign w:val="center"/>
          </w:tcPr>
          <w:p w14:paraId="7AF55B00">
            <w:pPr>
              <w:jc w:val="center"/>
              <w:rPr>
                <w:rFonts w:ascii="宋体" w:hAnsi="宋体" w:cs="宋体"/>
                <w:szCs w:val="21"/>
              </w:rPr>
            </w:pPr>
            <w:r>
              <w:rPr>
                <w:rFonts w:hint="eastAsia" w:ascii="宋体" w:cs="宋体"/>
                <w:szCs w:val="21"/>
              </w:rPr>
              <w:t>镍</w:t>
            </w:r>
          </w:p>
        </w:tc>
        <w:tc>
          <w:tcPr>
            <w:tcW w:w="1134" w:type="dxa"/>
            <w:vAlign w:val="center"/>
          </w:tcPr>
          <w:p w14:paraId="74459F15">
            <w:pPr>
              <w:jc w:val="center"/>
            </w:pPr>
            <w:r>
              <w:rPr>
                <w:rFonts w:hint="eastAsia"/>
              </w:rPr>
              <w:t>震荡筑底</w:t>
            </w:r>
          </w:p>
        </w:tc>
        <w:tc>
          <w:tcPr>
            <w:tcW w:w="6804" w:type="dxa"/>
            <w:vMerge w:val="continue"/>
            <w:shd w:val="clear" w:color="auto" w:fill="auto"/>
            <w:vAlign w:val="top"/>
          </w:tcPr>
          <w:p w14:paraId="6F78F06E">
            <w:pPr>
              <w:rPr>
                <w:rFonts w:asciiTheme="minorEastAsia" w:hAnsiTheme="minorEastAsia"/>
                <w:sz w:val="24"/>
              </w:rPr>
            </w:pPr>
          </w:p>
        </w:tc>
      </w:tr>
      <w:tr w14:paraId="6C233948">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26" w:hRule="atLeast"/>
          <w:jc w:val="center"/>
        </w:trPr>
        <w:tc>
          <w:tcPr>
            <w:tcW w:w="631" w:type="dxa"/>
            <w:vMerge w:val="continue"/>
            <w:vAlign w:val="center"/>
          </w:tcPr>
          <w:p w14:paraId="43836B86">
            <w:pPr>
              <w:jc w:val="center"/>
              <w:rPr>
                <w:rFonts w:ascii="宋体" w:hAnsi="宋体"/>
                <w:b/>
                <w:sz w:val="24"/>
                <w:szCs w:val="21"/>
              </w:rPr>
            </w:pPr>
          </w:p>
        </w:tc>
        <w:tc>
          <w:tcPr>
            <w:tcW w:w="1517" w:type="dxa"/>
            <w:vAlign w:val="center"/>
          </w:tcPr>
          <w:p w14:paraId="54BB7DC9">
            <w:pPr>
              <w:jc w:val="center"/>
              <w:rPr>
                <w:rFonts w:ascii="宋体" w:hAnsi="宋体" w:cs="宋体"/>
                <w:szCs w:val="21"/>
              </w:rPr>
            </w:pPr>
            <w:r>
              <w:rPr>
                <w:rFonts w:hint="eastAsia" w:ascii="宋体" w:cs="宋体"/>
                <w:szCs w:val="21"/>
              </w:rPr>
              <w:t>碳酸锂</w:t>
            </w:r>
          </w:p>
        </w:tc>
        <w:tc>
          <w:tcPr>
            <w:tcW w:w="1134" w:type="dxa"/>
            <w:vAlign w:val="center"/>
          </w:tcPr>
          <w:p w14:paraId="6DF261C4">
            <w:pPr>
              <w:ind w:firstLine="210" w:firstLineChars="100"/>
            </w:pPr>
            <w:r>
              <w:rPr>
                <w:rFonts w:hint="eastAsia"/>
              </w:rPr>
              <w:t>筑底</w:t>
            </w:r>
          </w:p>
        </w:tc>
        <w:tc>
          <w:tcPr>
            <w:tcW w:w="6804" w:type="dxa"/>
            <w:vMerge w:val="continue"/>
            <w:shd w:val="clear" w:color="auto" w:fill="auto"/>
            <w:vAlign w:val="top"/>
          </w:tcPr>
          <w:p w14:paraId="7BBF96A2">
            <w:pPr>
              <w:rPr>
                <w:rFonts w:asciiTheme="minorEastAsia" w:hAnsiTheme="minorEastAsia"/>
                <w:sz w:val="24"/>
              </w:rPr>
            </w:pPr>
          </w:p>
        </w:tc>
      </w:tr>
      <w:tr w14:paraId="7484921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473" w:hRule="atLeast"/>
          <w:jc w:val="center"/>
        </w:trPr>
        <w:tc>
          <w:tcPr>
            <w:tcW w:w="631" w:type="dxa"/>
            <w:vMerge w:val="continue"/>
            <w:vAlign w:val="center"/>
          </w:tcPr>
          <w:p w14:paraId="70E1D9BD">
            <w:pPr>
              <w:jc w:val="center"/>
              <w:rPr>
                <w:rFonts w:ascii="宋体" w:hAnsi="宋体"/>
                <w:b/>
                <w:sz w:val="24"/>
                <w:szCs w:val="21"/>
              </w:rPr>
            </w:pPr>
          </w:p>
        </w:tc>
        <w:tc>
          <w:tcPr>
            <w:tcW w:w="1517" w:type="dxa"/>
            <w:vAlign w:val="center"/>
          </w:tcPr>
          <w:p w14:paraId="13EEED4A">
            <w:pPr>
              <w:jc w:val="center"/>
              <w:rPr>
                <w:rFonts w:ascii="宋体" w:hAnsi="宋体" w:cs="宋体"/>
                <w:szCs w:val="21"/>
              </w:rPr>
            </w:pPr>
            <w:r>
              <w:rPr>
                <w:rFonts w:hint="eastAsia" w:ascii="宋体" w:cs="宋体"/>
                <w:szCs w:val="21"/>
              </w:rPr>
              <w:t>不锈钢</w:t>
            </w:r>
          </w:p>
        </w:tc>
        <w:tc>
          <w:tcPr>
            <w:tcW w:w="1134" w:type="dxa"/>
            <w:vAlign w:val="center"/>
          </w:tcPr>
          <w:p w14:paraId="43C41AE5">
            <w:pPr>
              <w:jc w:val="center"/>
            </w:pPr>
            <w:r>
              <w:rPr>
                <w:rFonts w:hint="eastAsia"/>
              </w:rPr>
              <w:t>筑底</w:t>
            </w:r>
          </w:p>
        </w:tc>
        <w:tc>
          <w:tcPr>
            <w:tcW w:w="6804" w:type="dxa"/>
            <w:vMerge w:val="continue"/>
            <w:shd w:val="clear" w:color="auto" w:fill="auto"/>
            <w:vAlign w:val="top"/>
          </w:tcPr>
          <w:p w14:paraId="234366A7">
            <w:pPr>
              <w:rPr>
                <w:rFonts w:asciiTheme="minorEastAsia" w:hAnsiTheme="minorEastAsia"/>
                <w:sz w:val="24"/>
              </w:rPr>
            </w:pPr>
          </w:p>
        </w:tc>
      </w:tr>
      <w:tr w14:paraId="21D75963">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023" w:hRule="atLeast"/>
          <w:jc w:val="center"/>
        </w:trPr>
        <w:tc>
          <w:tcPr>
            <w:tcW w:w="631" w:type="dxa"/>
            <w:vMerge w:val="restart"/>
            <w:vAlign w:val="center"/>
          </w:tcPr>
          <w:p w14:paraId="0DC358E7">
            <w:pPr>
              <w:jc w:val="center"/>
              <w:rPr>
                <w:rFonts w:ascii="宋体" w:hAnsi="宋体"/>
                <w:b/>
                <w:sz w:val="24"/>
                <w:szCs w:val="21"/>
              </w:rPr>
            </w:pPr>
          </w:p>
          <w:p w14:paraId="0EA8F493">
            <w:pPr>
              <w:jc w:val="center"/>
              <w:rPr>
                <w:rFonts w:ascii="宋体" w:hAnsi="宋体"/>
                <w:b/>
                <w:sz w:val="24"/>
                <w:szCs w:val="21"/>
              </w:rPr>
            </w:pPr>
          </w:p>
          <w:p w14:paraId="088226E7">
            <w:pPr>
              <w:jc w:val="center"/>
              <w:rPr>
                <w:rFonts w:ascii="宋体" w:hAnsi="宋体"/>
                <w:b/>
                <w:sz w:val="24"/>
                <w:szCs w:val="21"/>
              </w:rPr>
            </w:pPr>
          </w:p>
          <w:p w14:paraId="3CCDA4E8">
            <w:pPr>
              <w:jc w:val="center"/>
              <w:rPr>
                <w:rFonts w:ascii="宋体" w:hAnsi="宋体"/>
                <w:b/>
                <w:sz w:val="24"/>
                <w:szCs w:val="21"/>
              </w:rPr>
            </w:pPr>
          </w:p>
          <w:p w14:paraId="14832A80">
            <w:pPr>
              <w:jc w:val="center"/>
              <w:rPr>
                <w:rFonts w:ascii="宋体" w:hAnsi="宋体"/>
                <w:b/>
                <w:sz w:val="24"/>
                <w:szCs w:val="21"/>
              </w:rPr>
            </w:pPr>
          </w:p>
          <w:p w14:paraId="02499270">
            <w:pPr>
              <w:jc w:val="center"/>
              <w:rPr>
                <w:rFonts w:ascii="宋体" w:hAnsi="宋体"/>
                <w:b/>
                <w:sz w:val="24"/>
                <w:szCs w:val="21"/>
              </w:rPr>
            </w:pPr>
          </w:p>
          <w:p w14:paraId="2E5315E1">
            <w:pPr>
              <w:jc w:val="center"/>
              <w:rPr>
                <w:rFonts w:ascii="宋体" w:hAnsi="宋体"/>
                <w:b/>
                <w:sz w:val="24"/>
                <w:szCs w:val="21"/>
              </w:rPr>
            </w:pPr>
          </w:p>
          <w:p w14:paraId="12C369B7">
            <w:pPr>
              <w:jc w:val="center"/>
              <w:rPr>
                <w:rFonts w:ascii="宋体" w:hAnsi="宋体"/>
                <w:b/>
                <w:sz w:val="24"/>
                <w:szCs w:val="21"/>
              </w:rPr>
            </w:pPr>
            <w:r>
              <w:rPr>
                <w:rFonts w:hint="eastAsia" w:ascii="宋体" w:hAnsi="宋体"/>
                <w:b/>
                <w:sz w:val="24"/>
                <w:szCs w:val="21"/>
              </w:rPr>
              <w:t>油脂油料</w:t>
            </w:r>
          </w:p>
        </w:tc>
        <w:tc>
          <w:tcPr>
            <w:tcW w:w="1517" w:type="dxa"/>
            <w:vAlign w:val="center"/>
          </w:tcPr>
          <w:p w14:paraId="20E950AD">
            <w:pPr>
              <w:keepNext w:val="0"/>
              <w:keepLines w:val="0"/>
              <w:widowControl w:val="0"/>
              <w:suppressLineNumbers w:val="0"/>
              <w:spacing w:before="0" w:beforeAutospacing="0" w:after="0" w:afterAutospacing="0"/>
              <w:ind w:left="0" w:leftChars="0" w:right="0" w:rightChars="0"/>
              <w:jc w:val="center"/>
              <w:rPr>
                <w:rFonts w:ascii="宋体" w:hAnsi="宋体"/>
                <w:szCs w:val="21"/>
              </w:rPr>
            </w:pPr>
            <w:r>
              <w:rPr>
                <w:rFonts w:hint="eastAsia" w:ascii="宋体" w:hAnsi="宋体" w:eastAsia="宋体" w:cs="宋体"/>
                <w:kern w:val="2"/>
                <w:sz w:val="21"/>
                <w:szCs w:val="21"/>
                <w:lang w:val="en-US" w:eastAsia="zh-CN"/>
              </w:rPr>
              <w:t>豆油</w:t>
            </w:r>
          </w:p>
        </w:tc>
        <w:tc>
          <w:tcPr>
            <w:tcW w:w="1134" w:type="dxa"/>
            <w:vAlign w:val="center"/>
          </w:tcPr>
          <w:p w14:paraId="03F1A6DC">
            <w:pPr>
              <w:keepNext w:val="0"/>
              <w:keepLines w:val="0"/>
              <w:widowControl w:val="0"/>
              <w:suppressLineNumbers w:val="0"/>
              <w:spacing w:before="0" w:beforeAutospacing="0" w:after="0" w:afterAutospacing="0"/>
              <w:ind w:left="0" w:leftChars="0" w:right="0" w:rightChars="0"/>
              <w:jc w:val="center"/>
              <w:rPr>
                <w:rFonts w:ascii="宋体" w:hAnsi="宋体"/>
                <w:color w:val="000000"/>
                <w:szCs w:val="21"/>
              </w:rPr>
            </w:pPr>
            <w:r>
              <w:rPr>
                <w:rFonts w:hint="eastAsia" w:ascii="宋体" w:hAnsi="宋体" w:cs="宋体"/>
                <w:color w:val="000000"/>
                <w:kern w:val="2"/>
                <w:sz w:val="21"/>
                <w:szCs w:val="21"/>
                <w:lang w:val="en-US" w:eastAsia="zh-CN" w:bidi="ar-SA"/>
              </w:rPr>
              <w:t>震荡调整</w:t>
            </w:r>
          </w:p>
        </w:tc>
        <w:tc>
          <w:tcPr>
            <w:tcW w:w="6804" w:type="dxa"/>
            <w:vMerge w:val="restart"/>
            <w:shd w:val="clear" w:color="auto" w:fill="auto"/>
            <w:vAlign w:val="top"/>
          </w:tcPr>
          <w:p w14:paraId="645AEBAB">
            <w:pPr>
              <w:keepNext w:val="0"/>
              <w:keepLines w:val="0"/>
              <w:widowControl w:val="0"/>
              <w:suppressLineNumbers w:val="0"/>
              <w:spacing w:before="0" w:beforeAutospacing="0" w:after="0" w:afterAutospacing="0"/>
              <w:ind w:left="0" w:right="0"/>
              <w:jc w:val="both"/>
              <w:rPr>
                <w:rFonts w:hint="eastAsia" w:ascii="宋体" w:hAnsi="宋体" w:cs="宋体"/>
                <w:b w:val="0"/>
                <w:bCs/>
                <w:kern w:val="2"/>
                <w:sz w:val="21"/>
                <w:szCs w:val="21"/>
                <w:lang w:val="en-US" w:eastAsia="zh-CN"/>
              </w:rPr>
            </w:pPr>
            <w:r>
              <w:rPr>
                <w:rFonts w:hint="eastAsia" w:ascii="宋体" w:hAnsi="宋体" w:eastAsia="宋体" w:cs="宋体"/>
                <w:b/>
                <w:bCs w:val="0"/>
                <w:kern w:val="2"/>
                <w:sz w:val="21"/>
                <w:szCs w:val="21"/>
                <w:lang w:val="en-US" w:eastAsia="zh-CN"/>
              </w:rPr>
              <w:t>油脂：</w:t>
            </w:r>
            <w:r>
              <w:rPr>
                <w:rFonts w:hint="eastAsia" w:ascii="宋体" w:hAnsi="宋体" w:eastAsia="宋体" w:cs="宋体"/>
                <w:b w:val="0"/>
                <w:bCs/>
                <w:kern w:val="2"/>
                <w:sz w:val="21"/>
                <w:szCs w:val="21"/>
                <w:lang w:val="en-US" w:eastAsia="zh-CN"/>
              </w:rPr>
              <w:t>MPOB10月底</w:t>
            </w:r>
            <w:r>
              <w:rPr>
                <w:rFonts w:hint="eastAsia" w:ascii="宋体" w:hAnsi="宋体" w:cs="宋体"/>
                <w:b w:val="0"/>
                <w:bCs/>
                <w:kern w:val="2"/>
                <w:sz w:val="21"/>
                <w:szCs w:val="21"/>
                <w:lang w:val="en-US" w:eastAsia="zh-CN"/>
              </w:rPr>
              <w:t>产销数据显示，马棕油</w:t>
            </w:r>
            <w:r>
              <w:rPr>
                <w:rFonts w:hint="eastAsia" w:ascii="宋体" w:hAnsi="宋体" w:eastAsia="宋体" w:cs="宋体"/>
                <w:b w:val="0"/>
                <w:bCs/>
                <w:kern w:val="2"/>
                <w:sz w:val="21"/>
                <w:szCs w:val="21"/>
                <w:lang w:val="en-US" w:eastAsia="zh-CN"/>
              </w:rPr>
              <w:t>库存188.5万吨，低于市场预期</w:t>
            </w:r>
            <w:r>
              <w:rPr>
                <w:rFonts w:hint="eastAsia" w:ascii="宋体" w:hAnsi="宋体" w:cs="宋体"/>
                <w:b w:val="0"/>
                <w:bCs/>
                <w:kern w:val="2"/>
                <w:sz w:val="21"/>
                <w:szCs w:val="21"/>
                <w:lang w:val="en-US" w:eastAsia="zh-CN"/>
              </w:rPr>
              <w:t>，棕油产地进入减产周期，近期因马棕油出口下降及印尼B40政策不确定性导致的市场压力，同时马棕油出口疲软，提高出口关税，也对棕油期货价格不利。我国对加拿大菜籽反倾销调查正在稳步推进，后期加菜籽到港或不及预期。市场担心特朗普政府生物燃料政策调整不利于国内豆油需求。国内进口大豆供需仍偏宽松，豆油中期新增供给或维持中性，近期我进口棕油买船不积极，后期棕油进口到港量可能不及市场预期，供应偏紧暂难缓解，四季度油脂消费</w:t>
            </w:r>
            <w:bookmarkStart w:id="5" w:name="OLE_LINK9"/>
            <w:r>
              <w:rPr>
                <w:rFonts w:hint="eastAsia" w:ascii="宋体" w:hAnsi="宋体" w:cs="宋体"/>
                <w:b w:val="0"/>
                <w:bCs/>
                <w:kern w:val="2"/>
                <w:sz w:val="21"/>
                <w:szCs w:val="21"/>
                <w:lang w:val="en-US" w:eastAsia="zh-CN"/>
              </w:rPr>
              <w:t>旺季，油脂经过前期大幅上涨后短期震荡调整</w:t>
            </w:r>
            <w:bookmarkEnd w:id="5"/>
            <w:r>
              <w:rPr>
                <w:rFonts w:hint="eastAsia" w:ascii="宋体" w:hAnsi="宋体" w:cs="宋体"/>
                <w:b w:val="0"/>
                <w:bCs/>
                <w:kern w:val="2"/>
                <w:sz w:val="21"/>
                <w:szCs w:val="21"/>
                <w:lang w:val="en-US" w:eastAsia="zh-CN"/>
              </w:rPr>
              <w:t>，关注南美天气及马棕油产销。</w:t>
            </w:r>
          </w:p>
          <w:p w14:paraId="361AEB98">
            <w:pPr>
              <w:keepNext w:val="0"/>
              <w:keepLines w:val="0"/>
              <w:widowControl w:val="0"/>
              <w:suppressLineNumbers w:val="0"/>
              <w:spacing w:before="0" w:beforeAutospacing="0" w:after="0" w:afterAutospacing="0"/>
              <w:ind w:left="0" w:right="0"/>
              <w:jc w:val="both"/>
              <w:rPr>
                <w:rFonts w:hint="eastAsia" w:ascii="宋体" w:hAnsi="宋体" w:cs="宋体"/>
                <w:b w:val="0"/>
                <w:bCs/>
                <w:kern w:val="2"/>
                <w:sz w:val="21"/>
                <w:szCs w:val="21"/>
                <w:lang w:val="en-US" w:eastAsia="zh-CN"/>
              </w:rPr>
            </w:pPr>
            <w:r>
              <w:rPr>
                <w:rFonts w:hint="eastAsia" w:ascii="宋体" w:hAnsi="宋体" w:cs="宋体"/>
                <w:b/>
                <w:bCs w:val="0"/>
                <w:kern w:val="2"/>
                <w:sz w:val="21"/>
                <w:szCs w:val="21"/>
                <w:lang w:val="en-US" w:eastAsia="zh-CN"/>
              </w:rPr>
              <w:t>粕类：</w:t>
            </w:r>
            <w:bookmarkStart w:id="6" w:name="OLE_LINK3"/>
            <w:bookmarkStart w:id="7" w:name="OLE_LINK4"/>
            <w:r>
              <w:rPr>
                <w:rFonts w:hint="eastAsia" w:ascii="宋体" w:hAnsi="宋体" w:cs="宋体"/>
                <w:b w:val="0"/>
                <w:bCs/>
                <w:kern w:val="2"/>
                <w:sz w:val="21"/>
                <w:szCs w:val="21"/>
                <w:lang w:val="en-US" w:eastAsia="zh-CN"/>
              </w:rPr>
              <w:t>USDA报告显示美豆供需压力环比减轻，但同比压力依然较大</w:t>
            </w:r>
            <w:bookmarkEnd w:id="6"/>
            <w:r>
              <w:rPr>
                <w:rFonts w:hint="eastAsia" w:ascii="宋体" w:hAnsi="宋体" w:cs="宋体"/>
                <w:b w:val="0"/>
                <w:bCs/>
                <w:kern w:val="2"/>
                <w:sz w:val="21"/>
                <w:szCs w:val="21"/>
                <w:lang w:val="en-US" w:eastAsia="zh-CN"/>
              </w:rPr>
              <w:t>，美豆丰产压力持续兑现。巴西植物油行业协会预计2024/25年度巴西大豆产量将达到1.677亿吨，同比增加9.4%，这将打破2022/23年度前纪录1.603亿吨。阿根廷大豆播种全速推进。随着特朗普当选，中美贸易忧虑升温，市场继续关注美国相关产业政策调整可能给美豆期价带来的影响。国内11 月大豆进口到港量预计为850 万吨，国内油厂开工率下滑，油厂豆粕库存环比下降，部分油厂面临胀库停机，豆粕催提氛围依然浓厚，市场阶段性供需迎来边际改善，预计粕类震荡，关注南美大豆天气以及大豆到港情况。</w:t>
            </w:r>
          </w:p>
          <w:bookmarkEnd w:id="7"/>
          <w:p w14:paraId="718635FC">
            <w:pPr>
              <w:keepNext w:val="0"/>
              <w:keepLines w:val="0"/>
              <w:widowControl w:val="0"/>
              <w:suppressLineNumbers w:val="0"/>
              <w:spacing w:before="0" w:beforeAutospacing="0" w:after="0" w:afterAutospacing="0"/>
              <w:ind w:left="0" w:leftChars="0" w:right="0" w:rightChars="0"/>
              <w:jc w:val="both"/>
              <w:rPr>
                <w:rFonts w:ascii="宋体" w:hAnsi="宋体" w:cs="宋体"/>
                <w:bCs/>
                <w:szCs w:val="21"/>
              </w:rPr>
            </w:pPr>
            <w:r>
              <w:rPr>
                <w:rFonts w:hint="eastAsia" w:ascii="宋体" w:hAnsi="宋体" w:eastAsia="宋体" w:cs="宋体"/>
                <w:b/>
                <w:bCs w:val="0"/>
                <w:kern w:val="2"/>
                <w:sz w:val="21"/>
                <w:szCs w:val="21"/>
                <w:lang w:val="en-US" w:eastAsia="zh-CN"/>
              </w:rPr>
              <w:t>豆二：</w:t>
            </w:r>
            <w:r>
              <w:rPr>
                <w:rFonts w:hint="eastAsia" w:ascii="宋体" w:hAnsi="宋体" w:cs="宋体"/>
                <w:b w:val="0"/>
                <w:bCs/>
                <w:kern w:val="2"/>
                <w:sz w:val="21"/>
                <w:szCs w:val="21"/>
                <w:lang w:val="en-US" w:eastAsia="zh-CN"/>
              </w:rPr>
              <w:t>目前巴西2024/25年度大豆种植工作已完成约80%，天气条件有利，提振人们对巴西大豆丰收的预期。贸易商数据显示的采购缺口及巴西大豆收获期推迟的预期，远月采购缺口及南美天气的不确定性为市场带来变数，关注12月-2月国内进口大豆到港节奏，不过目前国内大豆供应充裕，预计豆二震荡，注意南美大豆天气及大豆到港情况。</w:t>
            </w:r>
          </w:p>
        </w:tc>
      </w:tr>
      <w:tr w14:paraId="3B9D7556">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10" w:hRule="atLeast"/>
          <w:jc w:val="center"/>
        </w:trPr>
        <w:tc>
          <w:tcPr>
            <w:tcW w:w="631" w:type="dxa"/>
            <w:vMerge w:val="continue"/>
            <w:vAlign w:val="center"/>
          </w:tcPr>
          <w:p w14:paraId="21A3CB2F">
            <w:pPr>
              <w:jc w:val="center"/>
              <w:rPr>
                <w:rFonts w:ascii="宋体" w:hAnsi="宋体"/>
                <w:b/>
                <w:sz w:val="24"/>
                <w:szCs w:val="21"/>
              </w:rPr>
            </w:pPr>
          </w:p>
        </w:tc>
        <w:tc>
          <w:tcPr>
            <w:tcW w:w="1517" w:type="dxa"/>
            <w:vAlign w:val="center"/>
          </w:tcPr>
          <w:p w14:paraId="32227447">
            <w:pPr>
              <w:keepNext w:val="0"/>
              <w:keepLines w:val="0"/>
              <w:widowControl w:val="0"/>
              <w:suppressLineNumbers w:val="0"/>
              <w:spacing w:before="0" w:beforeAutospacing="0" w:after="0" w:afterAutospacing="0"/>
              <w:ind w:left="0" w:leftChars="0" w:right="0" w:rightChars="0"/>
              <w:jc w:val="center"/>
              <w:rPr>
                <w:rFonts w:ascii="宋体" w:hAnsi="宋体"/>
                <w:szCs w:val="21"/>
              </w:rPr>
            </w:pPr>
            <w:r>
              <w:rPr>
                <w:rFonts w:hint="eastAsia" w:ascii="宋体" w:hAnsi="宋体" w:eastAsia="宋体" w:cs="宋体"/>
                <w:kern w:val="2"/>
                <w:sz w:val="21"/>
                <w:szCs w:val="21"/>
                <w:lang w:val="en-US" w:eastAsia="zh-CN"/>
              </w:rPr>
              <w:t>棕油</w:t>
            </w:r>
          </w:p>
        </w:tc>
        <w:tc>
          <w:tcPr>
            <w:tcW w:w="1134" w:type="dxa"/>
            <w:vAlign w:val="center"/>
          </w:tcPr>
          <w:p w14:paraId="5970B1F6">
            <w:pPr>
              <w:keepNext w:val="0"/>
              <w:keepLines w:val="0"/>
              <w:widowControl w:val="0"/>
              <w:suppressLineNumbers w:val="0"/>
              <w:spacing w:before="0" w:beforeAutospacing="0" w:after="0" w:afterAutospacing="0"/>
              <w:ind w:left="0" w:leftChars="0" w:right="0" w:rightChars="0"/>
              <w:jc w:val="center"/>
              <w:rPr>
                <w:rFonts w:ascii="宋体" w:hAnsi="宋体"/>
                <w:color w:val="000000"/>
                <w:szCs w:val="21"/>
              </w:rPr>
            </w:pPr>
            <w:r>
              <w:rPr>
                <w:rFonts w:hint="eastAsia" w:ascii="宋体" w:hAnsi="宋体" w:cs="宋体"/>
                <w:color w:val="000000"/>
                <w:kern w:val="2"/>
                <w:sz w:val="21"/>
                <w:szCs w:val="21"/>
                <w:lang w:val="en-US" w:eastAsia="zh-CN" w:bidi="ar-SA"/>
              </w:rPr>
              <w:t>震荡调整</w:t>
            </w:r>
          </w:p>
        </w:tc>
        <w:tc>
          <w:tcPr>
            <w:tcW w:w="6804" w:type="dxa"/>
            <w:vMerge w:val="continue"/>
            <w:shd w:val="clear" w:color="auto" w:fill="auto"/>
            <w:vAlign w:val="top"/>
          </w:tcPr>
          <w:p w14:paraId="6AA8FFA5">
            <w:pPr>
              <w:keepNext w:val="0"/>
              <w:keepLines w:val="0"/>
              <w:suppressLineNumbers w:val="0"/>
              <w:spacing w:before="0" w:beforeAutospacing="0" w:after="0" w:afterAutospacing="0"/>
              <w:ind w:left="0" w:leftChars="0" w:right="0" w:rightChars="0"/>
              <w:rPr>
                <w:rFonts w:asciiTheme="minorEastAsia" w:hAnsiTheme="minorEastAsia" w:eastAsiaTheme="minorEastAsia"/>
                <w:szCs w:val="21"/>
              </w:rPr>
            </w:pPr>
          </w:p>
        </w:tc>
      </w:tr>
      <w:tr w14:paraId="5AA136F5">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50" w:hRule="atLeast"/>
          <w:jc w:val="center"/>
        </w:trPr>
        <w:tc>
          <w:tcPr>
            <w:tcW w:w="631" w:type="dxa"/>
            <w:vMerge w:val="continue"/>
            <w:vAlign w:val="center"/>
          </w:tcPr>
          <w:p w14:paraId="6A89305D">
            <w:pPr>
              <w:jc w:val="center"/>
              <w:rPr>
                <w:rFonts w:ascii="宋体" w:hAnsi="宋体"/>
                <w:b/>
                <w:sz w:val="24"/>
                <w:szCs w:val="21"/>
              </w:rPr>
            </w:pPr>
          </w:p>
        </w:tc>
        <w:tc>
          <w:tcPr>
            <w:tcW w:w="1517" w:type="dxa"/>
            <w:vAlign w:val="center"/>
          </w:tcPr>
          <w:p w14:paraId="0C88DCFE">
            <w:pPr>
              <w:keepNext w:val="0"/>
              <w:keepLines w:val="0"/>
              <w:widowControl w:val="0"/>
              <w:suppressLineNumbers w:val="0"/>
              <w:spacing w:before="0" w:beforeAutospacing="0" w:after="0" w:afterAutospacing="0"/>
              <w:ind w:left="0" w:leftChars="0" w:right="0" w:rightChars="0"/>
              <w:jc w:val="center"/>
              <w:rPr>
                <w:rFonts w:ascii="宋体" w:hAnsi="宋体"/>
                <w:szCs w:val="21"/>
              </w:rPr>
            </w:pPr>
            <w:r>
              <w:rPr>
                <w:rFonts w:hint="eastAsia" w:ascii="宋体" w:hAnsi="宋体" w:eastAsia="宋体" w:cs="宋体"/>
                <w:kern w:val="2"/>
                <w:sz w:val="21"/>
                <w:szCs w:val="21"/>
                <w:lang w:val="en-US" w:eastAsia="zh-CN"/>
              </w:rPr>
              <w:t>菜油</w:t>
            </w:r>
          </w:p>
        </w:tc>
        <w:tc>
          <w:tcPr>
            <w:tcW w:w="1134" w:type="dxa"/>
            <w:vAlign w:val="center"/>
          </w:tcPr>
          <w:p w14:paraId="6C602BC4">
            <w:pPr>
              <w:keepNext w:val="0"/>
              <w:keepLines w:val="0"/>
              <w:widowControl w:val="0"/>
              <w:suppressLineNumbers w:val="0"/>
              <w:spacing w:before="0" w:beforeAutospacing="0" w:after="0" w:afterAutospacing="0"/>
              <w:ind w:left="0" w:leftChars="0" w:right="0" w:rightChars="0"/>
              <w:jc w:val="center"/>
              <w:rPr>
                <w:rFonts w:ascii="宋体" w:hAnsi="宋体"/>
                <w:color w:val="000000"/>
                <w:szCs w:val="21"/>
              </w:rPr>
            </w:pPr>
            <w:r>
              <w:rPr>
                <w:rFonts w:hint="eastAsia" w:ascii="宋体" w:hAnsi="宋体" w:cs="宋体"/>
                <w:color w:val="000000"/>
                <w:kern w:val="2"/>
                <w:sz w:val="21"/>
                <w:szCs w:val="21"/>
                <w:lang w:val="en-US" w:eastAsia="zh-CN" w:bidi="ar-SA"/>
              </w:rPr>
              <w:t>震荡调整</w:t>
            </w:r>
          </w:p>
        </w:tc>
        <w:tc>
          <w:tcPr>
            <w:tcW w:w="6804" w:type="dxa"/>
            <w:vMerge w:val="continue"/>
            <w:shd w:val="clear" w:color="auto" w:fill="auto"/>
            <w:vAlign w:val="top"/>
          </w:tcPr>
          <w:p w14:paraId="5DEBA84E">
            <w:pPr>
              <w:keepNext w:val="0"/>
              <w:keepLines w:val="0"/>
              <w:suppressLineNumbers w:val="0"/>
              <w:spacing w:before="0" w:beforeAutospacing="0" w:after="0" w:afterAutospacing="0"/>
              <w:ind w:left="0" w:leftChars="0" w:right="0" w:rightChars="0"/>
              <w:rPr>
                <w:rFonts w:asciiTheme="minorEastAsia" w:hAnsiTheme="minorEastAsia" w:eastAsiaTheme="minorEastAsia"/>
                <w:szCs w:val="21"/>
              </w:rPr>
            </w:pPr>
          </w:p>
        </w:tc>
      </w:tr>
      <w:tr w14:paraId="29BE3F30">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34" w:hRule="atLeast"/>
          <w:jc w:val="center"/>
        </w:trPr>
        <w:tc>
          <w:tcPr>
            <w:tcW w:w="631" w:type="dxa"/>
            <w:vMerge w:val="continue"/>
            <w:vAlign w:val="center"/>
          </w:tcPr>
          <w:p w14:paraId="0D9918EA">
            <w:pPr>
              <w:jc w:val="center"/>
              <w:rPr>
                <w:rFonts w:ascii="宋体" w:hAnsi="宋体"/>
                <w:b/>
                <w:sz w:val="24"/>
                <w:szCs w:val="21"/>
              </w:rPr>
            </w:pPr>
          </w:p>
        </w:tc>
        <w:tc>
          <w:tcPr>
            <w:tcW w:w="1517" w:type="dxa"/>
            <w:vAlign w:val="center"/>
          </w:tcPr>
          <w:p w14:paraId="0AE964F7">
            <w:pPr>
              <w:keepNext w:val="0"/>
              <w:keepLines w:val="0"/>
              <w:widowControl w:val="0"/>
              <w:suppressLineNumbers w:val="0"/>
              <w:spacing w:before="0" w:beforeAutospacing="0" w:after="0" w:afterAutospacing="0"/>
              <w:ind w:left="0" w:leftChars="0" w:right="0" w:rightChars="0"/>
              <w:jc w:val="center"/>
              <w:rPr>
                <w:rFonts w:ascii="宋体" w:hAnsi="宋体"/>
                <w:szCs w:val="21"/>
              </w:rPr>
            </w:pPr>
            <w:r>
              <w:rPr>
                <w:rFonts w:hint="eastAsia" w:ascii="宋体" w:hAnsi="宋体" w:eastAsia="宋体" w:cs="宋体"/>
                <w:kern w:val="2"/>
                <w:sz w:val="21"/>
                <w:szCs w:val="21"/>
                <w:lang w:val="en-US" w:eastAsia="zh-CN"/>
              </w:rPr>
              <w:t>豆粕</w:t>
            </w:r>
          </w:p>
        </w:tc>
        <w:tc>
          <w:tcPr>
            <w:tcW w:w="1134" w:type="dxa"/>
            <w:vAlign w:val="center"/>
          </w:tcPr>
          <w:p w14:paraId="255026B4">
            <w:pPr>
              <w:keepNext w:val="0"/>
              <w:keepLines w:val="0"/>
              <w:widowControl w:val="0"/>
              <w:suppressLineNumbers w:val="0"/>
              <w:spacing w:before="0" w:beforeAutospacing="0" w:after="0" w:afterAutospacing="0"/>
              <w:ind w:left="0" w:leftChars="0" w:right="0" w:rightChars="0"/>
              <w:jc w:val="center"/>
              <w:rPr>
                <w:rFonts w:ascii="宋体" w:hAnsi="宋体"/>
                <w:color w:val="000000"/>
                <w:szCs w:val="21"/>
              </w:rPr>
            </w:pPr>
            <w:r>
              <w:rPr>
                <w:rFonts w:hint="eastAsia" w:ascii="宋体" w:hAnsi="宋体" w:cs="宋体"/>
                <w:color w:val="000000"/>
                <w:kern w:val="2"/>
                <w:sz w:val="21"/>
                <w:szCs w:val="21"/>
                <w:lang w:val="en-US" w:eastAsia="zh-CN" w:bidi="ar-SA"/>
              </w:rPr>
              <w:t>震荡</w:t>
            </w:r>
          </w:p>
        </w:tc>
        <w:tc>
          <w:tcPr>
            <w:tcW w:w="6804" w:type="dxa"/>
            <w:vMerge w:val="continue"/>
            <w:shd w:val="clear" w:color="auto" w:fill="auto"/>
            <w:vAlign w:val="top"/>
          </w:tcPr>
          <w:p w14:paraId="10821A52">
            <w:pPr>
              <w:keepNext w:val="0"/>
              <w:keepLines w:val="0"/>
              <w:suppressLineNumbers w:val="0"/>
              <w:spacing w:before="0" w:beforeAutospacing="0" w:after="0" w:afterAutospacing="0"/>
              <w:ind w:left="0" w:leftChars="0" w:right="0" w:rightChars="0"/>
              <w:rPr>
                <w:rFonts w:asciiTheme="minorEastAsia" w:hAnsiTheme="minorEastAsia" w:eastAsiaTheme="minorEastAsia"/>
                <w:szCs w:val="21"/>
              </w:rPr>
            </w:pPr>
          </w:p>
        </w:tc>
      </w:tr>
      <w:tr w14:paraId="3EC788AF">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43" w:hRule="atLeast"/>
          <w:jc w:val="center"/>
        </w:trPr>
        <w:tc>
          <w:tcPr>
            <w:tcW w:w="631" w:type="dxa"/>
            <w:vMerge w:val="continue"/>
            <w:vAlign w:val="center"/>
          </w:tcPr>
          <w:p w14:paraId="589924CA">
            <w:pPr>
              <w:jc w:val="center"/>
              <w:rPr>
                <w:rFonts w:ascii="宋体" w:hAnsi="宋体"/>
                <w:b/>
                <w:sz w:val="24"/>
                <w:szCs w:val="21"/>
              </w:rPr>
            </w:pPr>
          </w:p>
        </w:tc>
        <w:tc>
          <w:tcPr>
            <w:tcW w:w="1517" w:type="dxa"/>
            <w:vAlign w:val="center"/>
          </w:tcPr>
          <w:p w14:paraId="566AB465">
            <w:pPr>
              <w:keepNext w:val="0"/>
              <w:keepLines w:val="0"/>
              <w:widowControl w:val="0"/>
              <w:suppressLineNumbers w:val="0"/>
              <w:spacing w:before="0" w:beforeAutospacing="0" w:after="0" w:afterAutospacing="0"/>
              <w:ind w:left="0" w:leftChars="0" w:right="0" w:rightChars="0"/>
              <w:jc w:val="center"/>
              <w:rPr>
                <w:rFonts w:ascii="宋体" w:hAnsi="宋体"/>
                <w:szCs w:val="21"/>
              </w:rPr>
            </w:pPr>
            <w:r>
              <w:rPr>
                <w:rFonts w:hint="eastAsia" w:ascii="宋体" w:hAnsi="宋体" w:eastAsia="宋体" w:cs="宋体"/>
                <w:kern w:val="2"/>
                <w:sz w:val="21"/>
                <w:szCs w:val="21"/>
                <w:lang w:val="en-US" w:eastAsia="zh-CN"/>
              </w:rPr>
              <w:t>菜粕</w:t>
            </w:r>
          </w:p>
        </w:tc>
        <w:tc>
          <w:tcPr>
            <w:tcW w:w="1134" w:type="dxa"/>
            <w:vAlign w:val="center"/>
          </w:tcPr>
          <w:p w14:paraId="26431C7E">
            <w:pPr>
              <w:keepNext w:val="0"/>
              <w:keepLines w:val="0"/>
              <w:widowControl w:val="0"/>
              <w:suppressLineNumbers w:val="0"/>
              <w:spacing w:before="0" w:beforeAutospacing="0" w:after="0" w:afterAutospacing="0"/>
              <w:ind w:left="0" w:leftChars="0" w:right="0" w:rightChars="0"/>
              <w:jc w:val="center"/>
              <w:rPr>
                <w:rFonts w:ascii="宋体" w:hAnsi="宋体"/>
                <w:color w:val="000000"/>
                <w:szCs w:val="21"/>
              </w:rPr>
            </w:pPr>
            <w:r>
              <w:rPr>
                <w:rFonts w:hint="eastAsia" w:ascii="宋体" w:hAnsi="宋体" w:cs="宋体"/>
                <w:color w:val="000000"/>
                <w:kern w:val="2"/>
                <w:sz w:val="21"/>
                <w:szCs w:val="21"/>
                <w:lang w:val="en-US" w:eastAsia="zh-CN" w:bidi="ar-SA"/>
              </w:rPr>
              <w:t>震荡</w:t>
            </w:r>
          </w:p>
        </w:tc>
        <w:tc>
          <w:tcPr>
            <w:tcW w:w="6804" w:type="dxa"/>
            <w:vMerge w:val="continue"/>
            <w:shd w:val="clear" w:color="auto" w:fill="auto"/>
            <w:vAlign w:val="top"/>
          </w:tcPr>
          <w:p w14:paraId="78E51467">
            <w:pPr>
              <w:keepNext w:val="0"/>
              <w:keepLines w:val="0"/>
              <w:suppressLineNumbers w:val="0"/>
              <w:spacing w:before="0" w:beforeAutospacing="0" w:after="0" w:afterAutospacing="0"/>
              <w:ind w:left="0" w:leftChars="0" w:right="0" w:rightChars="0"/>
              <w:rPr>
                <w:rFonts w:asciiTheme="minorEastAsia" w:hAnsiTheme="minorEastAsia" w:eastAsiaTheme="minorEastAsia"/>
                <w:szCs w:val="21"/>
              </w:rPr>
            </w:pPr>
          </w:p>
        </w:tc>
      </w:tr>
      <w:tr w14:paraId="20D3364D">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833" w:hRule="atLeast"/>
          <w:jc w:val="center"/>
        </w:trPr>
        <w:tc>
          <w:tcPr>
            <w:tcW w:w="631" w:type="dxa"/>
            <w:vMerge w:val="continue"/>
            <w:vAlign w:val="center"/>
          </w:tcPr>
          <w:p w14:paraId="1B330F80">
            <w:pPr>
              <w:jc w:val="center"/>
              <w:rPr>
                <w:rFonts w:ascii="宋体" w:hAnsi="宋体"/>
                <w:b/>
                <w:sz w:val="24"/>
                <w:szCs w:val="21"/>
              </w:rPr>
            </w:pPr>
          </w:p>
        </w:tc>
        <w:tc>
          <w:tcPr>
            <w:tcW w:w="1517" w:type="dxa"/>
            <w:vAlign w:val="center"/>
          </w:tcPr>
          <w:p w14:paraId="0E038DB3">
            <w:pPr>
              <w:keepNext w:val="0"/>
              <w:keepLines w:val="0"/>
              <w:widowControl w:val="0"/>
              <w:suppressLineNumbers w:val="0"/>
              <w:spacing w:before="0" w:beforeAutospacing="0" w:after="0" w:afterAutospacing="0"/>
              <w:ind w:left="0" w:leftChars="0" w:right="0" w:rightChars="0"/>
              <w:jc w:val="center"/>
              <w:rPr>
                <w:rFonts w:ascii="宋体" w:hAnsi="宋体"/>
                <w:szCs w:val="21"/>
              </w:rPr>
            </w:pPr>
            <w:r>
              <w:rPr>
                <w:rFonts w:hint="eastAsia" w:ascii="宋体" w:hAnsi="宋体" w:eastAsia="宋体" w:cs="宋体"/>
                <w:kern w:val="2"/>
                <w:sz w:val="21"/>
                <w:szCs w:val="21"/>
                <w:lang w:val="en-US" w:eastAsia="zh-CN"/>
              </w:rPr>
              <w:t>豆二</w:t>
            </w:r>
          </w:p>
        </w:tc>
        <w:tc>
          <w:tcPr>
            <w:tcW w:w="1134" w:type="dxa"/>
            <w:vAlign w:val="center"/>
          </w:tcPr>
          <w:p w14:paraId="152AF396">
            <w:pPr>
              <w:keepNext w:val="0"/>
              <w:keepLines w:val="0"/>
              <w:widowControl w:val="0"/>
              <w:suppressLineNumbers w:val="0"/>
              <w:spacing w:before="0" w:beforeAutospacing="0" w:after="0" w:afterAutospacing="0"/>
              <w:ind w:left="0" w:leftChars="0" w:right="0" w:rightChars="0"/>
              <w:jc w:val="center"/>
              <w:rPr>
                <w:rFonts w:ascii="宋体" w:hAnsi="宋体"/>
                <w:color w:val="000000"/>
                <w:szCs w:val="21"/>
              </w:rPr>
            </w:pPr>
            <w:r>
              <w:rPr>
                <w:rFonts w:hint="eastAsia" w:ascii="宋体" w:hAnsi="宋体" w:cs="宋体"/>
                <w:color w:val="000000"/>
                <w:kern w:val="2"/>
                <w:sz w:val="21"/>
                <w:szCs w:val="21"/>
                <w:lang w:val="en-US" w:eastAsia="zh-CN" w:bidi="ar-SA"/>
              </w:rPr>
              <w:t>震荡</w:t>
            </w:r>
          </w:p>
        </w:tc>
        <w:tc>
          <w:tcPr>
            <w:tcW w:w="6804" w:type="dxa"/>
            <w:vMerge w:val="continue"/>
            <w:shd w:val="clear" w:color="auto" w:fill="auto"/>
            <w:vAlign w:val="top"/>
          </w:tcPr>
          <w:p w14:paraId="2F94AF7E">
            <w:pPr>
              <w:keepNext w:val="0"/>
              <w:keepLines w:val="0"/>
              <w:suppressLineNumbers w:val="0"/>
              <w:spacing w:before="0" w:beforeAutospacing="0" w:after="0" w:afterAutospacing="0"/>
              <w:ind w:left="0" w:leftChars="0" w:right="0" w:rightChars="0"/>
              <w:rPr>
                <w:rFonts w:asciiTheme="minorEastAsia" w:hAnsiTheme="minorEastAsia" w:eastAsiaTheme="minorEastAsia"/>
                <w:szCs w:val="21"/>
              </w:rPr>
            </w:pPr>
          </w:p>
        </w:tc>
      </w:tr>
      <w:tr w14:paraId="4D42A29F">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504" w:hRule="atLeast"/>
          <w:jc w:val="center"/>
        </w:trPr>
        <w:tc>
          <w:tcPr>
            <w:tcW w:w="631" w:type="dxa"/>
            <w:vMerge w:val="continue"/>
            <w:vAlign w:val="center"/>
          </w:tcPr>
          <w:p w14:paraId="3931AD70">
            <w:pPr>
              <w:jc w:val="center"/>
              <w:rPr>
                <w:rFonts w:ascii="宋体" w:hAnsi="宋体"/>
                <w:b/>
                <w:sz w:val="24"/>
                <w:szCs w:val="21"/>
              </w:rPr>
            </w:pPr>
          </w:p>
        </w:tc>
        <w:tc>
          <w:tcPr>
            <w:tcW w:w="1517" w:type="dxa"/>
            <w:vAlign w:val="center"/>
          </w:tcPr>
          <w:p w14:paraId="0A4D2AE9">
            <w:pPr>
              <w:keepNext w:val="0"/>
              <w:keepLines w:val="0"/>
              <w:widowControl w:val="0"/>
              <w:suppressLineNumbers w:val="0"/>
              <w:spacing w:before="0" w:beforeAutospacing="0" w:after="0" w:afterAutospacing="0"/>
              <w:ind w:left="0" w:leftChars="0" w:right="0" w:rightChars="0"/>
              <w:jc w:val="center"/>
              <w:rPr>
                <w:rFonts w:ascii="宋体" w:hAnsi="宋体"/>
                <w:szCs w:val="21"/>
              </w:rPr>
            </w:pPr>
            <w:r>
              <w:rPr>
                <w:rFonts w:hint="eastAsia" w:ascii="宋体" w:hAnsi="宋体" w:eastAsia="宋体" w:cs="宋体"/>
                <w:kern w:val="2"/>
                <w:sz w:val="21"/>
                <w:szCs w:val="21"/>
                <w:lang w:val="en-US" w:eastAsia="zh-CN"/>
              </w:rPr>
              <w:t>豆一</w:t>
            </w:r>
          </w:p>
        </w:tc>
        <w:tc>
          <w:tcPr>
            <w:tcW w:w="1134" w:type="dxa"/>
            <w:vAlign w:val="center"/>
          </w:tcPr>
          <w:p w14:paraId="66762B5B">
            <w:pPr>
              <w:keepNext w:val="0"/>
              <w:keepLines w:val="0"/>
              <w:widowControl w:val="0"/>
              <w:suppressLineNumbers w:val="0"/>
              <w:spacing w:before="0" w:beforeAutospacing="0" w:after="0" w:afterAutospacing="0"/>
              <w:ind w:left="0" w:leftChars="0" w:right="0" w:rightChars="0"/>
              <w:jc w:val="center"/>
              <w:rPr>
                <w:rFonts w:ascii="宋体" w:hAnsi="宋体"/>
                <w:color w:val="000000"/>
                <w:szCs w:val="21"/>
              </w:rPr>
            </w:pPr>
            <w:r>
              <w:rPr>
                <w:rFonts w:hint="eastAsia" w:ascii="宋体" w:hAnsi="宋体" w:cs="宋体"/>
                <w:color w:val="000000"/>
                <w:kern w:val="2"/>
                <w:sz w:val="21"/>
                <w:szCs w:val="21"/>
                <w:lang w:val="en-US" w:eastAsia="zh-CN" w:bidi="ar-SA"/>
              </w:rPr>
              <w:t>震荡</w:t>
            </w:r>
          </w:p>
        </w:tc>
        <w:tc>
          <w:tcPr>
            <w:tcW w:w="6804" w:type="dxa"/>
            <w:vMerge w:val="continue"/>
            <w:shd w:val="clear" w:color="auto" w:fill="auto"/>
            <w:vAlign w:val="top"/>
          </w:tcPr>
          <w:p w14:paraId="6A1FB326">
            <w:pPr>
              <w:keepNext w:val="0"/>
              <w:keepLines w:val="0"/>
              <w:suppressLineNumbers w:val="0"/>
              <w:spacing w:before="0" w:beforeAutospacing="0" w:after="0" w:afterAutospacing="0"/>
              <w:ind w:left="0" w:leftChars="0" w:right="0" w:rightChars="0"/>
              <w:rPr>
                <w:rFonts w:asciiTheme="minorEastAsia" w:hAnsiTheme="minorEastAsia" w:eastAsiaTheme="minorEastAsia"/>
                <w:szCs w:val="21"/>
              </w:rPr>
            </w:pPr>
          </w:p>
        </w:tc>
      </w:tr>
      <w:tr w14:paraId="26BDB03C">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029" w:hRule="atLeast"/>
          <w:jc w:val="center"/>
        </w:trPr>
        <w:tc>
          <w:tcPr>
            <w:tcW w:w="631" w:type="dxa"/>
            <w:vMerge w:val="restart"/>
            <w:vAlign w:val="center"/>
          </w:tcPr>
          <w:p w14:paraId="5B09BCFF">
            <w:pPr>
              <w:jc w:val="center"/>
              <w:rPr>
                <w:rFonts w:ascii="宋体" w:hAnsi="宋体"/>
                <w:b/>
                <w:sz w:val="24"/>
                <w:szCs w:val="21"/>
              </w:rPr>
            </w:pPr>
            <w:r>
              <w:rPr>
                <w:rFonts w:hint="eastAsia" w:ascii="宋体" w:hAnsi="宋体"/>
                <w:b/>
                <w:sz w:val="24"/>
                <w:szCs w:val="21"/>
              </w:rPr>
              <w:t>软商品</w:t>
            </w:r>
          </w:p>
        </w:tc>
        <w:tc>
          <w:tcPr>
            <w:tcW w:w="1517" w:type="dxa"/>
            <w:vAlign w:val="center"/>
          </w:tcPr>
          <w:p w14:paraId="6F6899D1">
            <w:pPr>
              <w:jc w:val="center"/>
              <w:rPr>
                <w:rFonts w:ascii="宋体" w:hAnsi="宋体" w:cs="宋体"/>
                <w:szCs w:val="21"/>
              </w:rPr>
            </w:pPr>
            <w:r>
              <w:rPr>
                <w:rFonts w:hint="eastAsia" w:ascii="宋体" w:hAnsi="宋体" w:cs="宋体"/>
                <w:szCs w:val="21"/>
              </w:rPr>
              <w:t>棉花</w:t>
            </w:r>
          </w:p>
        </w:tc>
        <w:tc>
          <w:tcPr>
            <w:tcW w:w="1134" w:type="dxa"/>
            <w:vAlign w:val="center"/>
          </w:tcPr>
          <w:p w14:paraId="7E30E1B6">
            <w:pPr>
              <w:jc w:val="center"/>
              <w:rPr>
                <w:rFonts w:ascii="宋体" w:hAnsi="宋体"/>
                <w:i/>
                <w:iCs/>
                <w:szCs w:val="21"/>
              </w:rPr>
            </w:pPr>
            <w:r>
              <w:rPr>
                <w:rFonts w:hint="eastAsia"/>
              </w:rPr>
              <w:t>偏弱</w:t>
            </w:r>
          </w:p>
        </w:tc>
        <w:tc>
          <w:tcPr>
            <w:tcW w:w="6804" w:type="dxa"/>
            <w:vMerge w:val="restart"/>
            <w:shd w:val="clear" w:color="auto" w:fill="auto"/>
            <w:vAlign w:val="top"/>
          </w:tcPr>
          <w:p w14:paraId="1B0DE1F6">
            <w:r>
              <w:rPr>
                <w:rFonts w:hint="eastAsia"/>
                <w:b/>
                <w:bCs/>
              </w:rPr>
              <w:t>棉花：</w:t>
            </w:r>
            <w:r>
              <w:rPr>
                <w:rFonts w:hint="eastAsia"/>
              </w:rPr>
              <w:t>内外盘棉花得到区间下沿支撑，在低位企稳，短期或有上行，但预计幅度有限。新疆籽棉收购期有望提前结束，轧花厂表示，出口及关税的不确定性令下游贸易商、纺企等采购进度较缓慢，棉价走低吞噬利润空间。国内一方面棉</w:t>
            </w:r>
            <w:r>
              <w:fldChar w:fldCharType="begin"/>
            </w:r>
            <w:r>
              <w:instrText xml:space="preserve"> HYPERLINK "http://finance.sina.com.cn/money/future/quote.html?code=PK0" \t "_blank" </w:instrText>
            </w:r>
            <w:r>
              <w:fldChar w:fldCharType="separate"/>
            </w:r>
            <w:r>
              <w:rPr>
                <w:rFonts w:hint="eastAsia"/>
              </w:rPr>
              <w:t>花</w:t>
            </w:r>
            <w:r>
              <w:rPr>
                <w:rFonts w:hint="eastAsia"/>
              </w:rPr>
              <w:fldChar w:fldCharType="end"/>
            </w:r>
            <w:r>
              <w:rPr>
                <w:rFonts w:hint="eastAsia"/>
              </w:rPr>
              <w:t>加工量增长，另一方面新订单、大型订单表现平平，下游纺企、织厂成品库存上升，织厂开机逐步降低。纺企采购趋于谨慎，按需采购为主，这促使面临较大经营压力的棉企下调基差来吸引买家。前三季度我国产业用纺织品行业景气指数为68.7，较上半年提升1.6个百分点。但目前秋冬季订单已基本结束，11、12月份以少量尾单、补单、返单为主，各地纺企开机率下降。全疆采棉进度达到99%</w:t>
            </w:r>
            <w:r>
              <w:t>，</w:t>
            </w:r>
            <w:r>
              <w:rPr>
                <w:rFonts w:hint="eastAsia"/>
              </w:rPr>
              <w:t>一些签了基差预售合同的棉花加工企业扩大收购导致籽棉收购价稳中有升，新棉加工成本逐渐固化，资源集中到有较强议价能力的轧花厂和贸易商手中，供应端已无大的变数。未来较长时间内，宏观层面的扰动仍将持续，随着美国大选落定，关税争议料将再起，这成为市场担忧的因素。目前现货成交未伴随期货下跌放量，整体交投氛围一般。目前新棉仓单生成偏少，交割逻辑也对盘面形成一定支撑。</w:t>
            </w:r>
          </w:p>
          <w:p w14:paraId="6DF9C267">
            <w:pPr>
              <w:rPr>
                <w:bCs/>
              </w:rPr>
            </w:pPr>
            <w:r>
              <w:rPr>
                <w:rFonts w:hint="eastAsia"/>
                <w:b/>
                <w:bCs/>
              </w:rPr>
              <w:t>橡胶：</w:t>
            </w:r>
            <w:bookmarkStart w:id="8" w:name="_Hlk153748332"/>
            <w:r>
              <w:rPr>
                <w:rFonts w:hint="eastAsia"/>
                <w:bCs/>
              </w:rPr>
              <w:t>沪胶触底反弹，出口退税调整给国内商品带来的利空冲击基本得到消化，胶价已经历了连续调整，台风“万宜”又对橡胶生产带来不利影响，引发超跌反弹。全球天然橡胶生产旺季</w:t>
            </w:r>
            <w:r>
              <w:rPr>
                <w:bCs/>
              </w:rPr>
              <w:t>原料产量不断增加，不过</w:t>
            </w:r>
            <w:r>
              <w:rPr>
                <w:rFonts w:hint="eastAsia"/>
                <w:bCs/>
              </w:rPr>
              <w:t>原料胶水价格保持稳定，从成本端为橡胶提供了支撑，约束其下行空间。天胶仓单在整个旺割期增长缓慢，较往年提早见顶，目前即将进入停割季，预计月底集中注销后，余下的仓单数量预计将十分有限，实盘压力较轻。得益于全球汽车需求整体保持韧性，国内轮胎企业保持了较好的盈利水平和出货量，需要注意的是，未来随着美国收紧贸易保护政策，部分迂回出口美国市场的中国轮胎存在被增收关税的可能。</w:t>
            </w:r>
            <w:r>
              <w:rPr>
                <w:bCs/>
              </w:rPr>
              <w:t>下游轮胎厂大多按需备货，</w:t>
            </w:r>
            <w:r>
              <w:rPr>
                <w:rFonts w:hint="eastAsia"/>
                <w:bCs/>
              </w:rPr>
              <w:t>社会库存开始出现缓慢的增长。</w:t>
            </w:r>
          </w:p>
          <w:bookmarkEnd w:id="8"/>
          <w:p w14:paraId="27BA59C6">
            <w:r>
              <w:rPr>
                <w:rFonts w:hint="eastAsia"/>
                <w:b/>
                <w:bCs/>
              </w:rPr>
              <w:t>糖：</w:t>
            </w:r>
            <w:r>
              <w:rPr>
                <w:rFonts w:ascii="宋体" w:hAnsi="宋体"/>
                <w:bCs/>
                <w:szCs w:val="21"/>
              </w:rPr>
              <w:t>国际糖业组织（ISO）将24/25年度全球糖供应缺口预期从之前的358万吨下调至251万吨，受此压制ICE原糖回落。郑糖则中幅反弹，期价来到震荡区间上轨附近。</w:t>
            </w:r>
            <w:r>
              <w:rPr>
                <w:rFonts w:hint="eastAsia"/>
              </w:rPr>
              <w:t>未来焦点在于北半球新糖上市进度，预计12月底之前北半球主产国的实质供应亦有限。机构对对本榨季巴西主产区糖产量预估维持3950万吨不变，但存在下行风险，接下来的一段时间，天气、市场需求变化和糖厂的灵活调整都会影响最终产量。国内自11月8日首家糖厂开榨以来，新糖源源不断上市，预计新榨季食糖产量将同比增产，新陈交接之时，新糖在抢销售进度，贸易端保持谨慎，下游缺乏积极补库意愿，有厂家</w:t>
            </w:r>
            <w:r>
              <w:rPr>
                <w:rFonts w:hint="eastAsia" w:ascii="宋体" w:hAnsi="宋体"/>
                <w:bCs/>
                <w:szCs w:val="21"/>
              </w:rPr>
              <w:t>新糖报价跌破6000元/吨。</w:t>
            </w:r>
            <w:r>
              <w:rPr>
                <w:rFonts w:hint="eastAsia"/>
              </w:rPr>
              <w:t>1-10月份我国累计进口糖342万吨，同比上年同期增长12.6%。同期糖浆及糖粉进口创下历史新高，两项合计高达538.37万吨。</w:t>
            </w:r>
          </w:p>
        </w:tc>
      </w:tr>
      <w:tr w14:paraId="3F041CBC">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779" w:hRule="atLeast"/>
          <w:jc w:val="center"/>
        </w:trPr>
        <w:tc>
          <w:tcPr>
            <w:tcW w:w="631" w:type="dxa"/>
            <w:vMerge w:val="continue"/>
            <w:vAlign w:val="center"/>
          </w:tcPr>
          <w:p w14:paraId="78F0FF54">
            <w:pPr>
              <w:jc w:val="center"/>
              <w:rPr>
                <w:rFonts w:ascii="宋体" w:hAnsi="宋体"/>
                <w:b/>
                <w:sz w:val="24"/>
                <w:szCs w:val="21"/>
              </w:rPr>
            </w:pPr>
          </w:p>
        </w:tc>
        <w:tc>
          <w:tcPr>
            <w:tcW w:w="1517" w:type="dxa"/>
            <w:vAlign w:val="center"/>
          </w:tcPr>
          <w:p w14:paraId="2FF3E460">
            <w:pPr>
              <w:jc w:val="center"/>
              <w:rPr>
                <w:rFonts w:ascii="宋体" w:hAnsi="宋体" w:cs="宋体"/>
                <w:szCs w:val="21"/>
              </w:rPr>
            </w:pPr>
            <w:r>
              <w:rPr>
                <w:rFonts w:hint="eastAsia" w:ascii="宋体" w:hAnsi="宋体" w:cs="宋体"/>
                <w:szCs w:val="21"/>
              </w:rPr>
              <w:t>棉纱</w:t>
            </w:r>
          </w:p>
        </w:tc>
        <w:tc>
          <w:tcPr>
            <w:tcW w:w="1134" w:type="dxa"/>
            <w:vAlign w:val="center"/>
          </w:tcPr>
          <w:p w14:paraId="588ACC03">
            <w:pPr>
              <w:jc w:val="center"/>
              <w:rPr>
                <w:rFonts w:ascii="宋体" w:hAnsi="宋体"/>
                <w:i/>
                <w:iCs/>
                <w:szCs w:val="21"/>
              </w:rPr>
            </w:pPr>
            <w:r>
              <w:rPr>
                <w:rFonts w:hint="eastAsia"/>
              </w:rPr>
              <w:t>偏弱</w:t>
            </w:r>
          </w:p>
        </w:tc>
        <w:tc>
          <w:tcPr>
            <w:tcW w:w="6804" w:type="dxa"/>
            <w:vMerge w:val="continue"/>
            <w:shd w:val="clear" w:color="auto" w:fill="auto"/>
            <w:vAlign w:val="center"/>
          </w:tcPr>
          <w:p w14:paraId="6E01E783">
            <w:pPr>
              <w:widowControl/>
              <w:jc w:val="left"/>
            </w:pPr>
          </w:p>
        </w:tc>
      </w:tr>
      <w:tr w14:paraId="1CC3945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691" w:hRule="atLeast"/>
          <w:jc w:val="center"/>
        </w:trPr>
        <w:tc>
          <w:tcPr>
            <w:tcW w:w="631" w:type="dxa"/>
            <w:vMerge w:val="continue"/>
            <w:vAlign w:val="center"/>
          </w:tcPr>
          <w:p w14:paraId="17FA5F92">
            <w:pPr>
              <w:jc w:val="center"/>
              <w:rPr>
                <w:rFonts w:ascii="宋体" w:hAnsi="宋体"/>
                <w:b/>
                <w:sz w:val="24"/>
                <w:szCs w:val="21"/>
              </w:rPr>
            </w:pPr>
          </w:p>
        </w:tc>
        <w:tc>
          <w:tcPr>
            <w:tcW w:w="1517" w:type="dxa"/>
            <w:vAlign w:val="center"/>
          </w:tcPr>
          <w:p w14:paraId="71E24751">
            <w:pPr>
              <w:jc w:val="center"/>
              <w:rPr>
                <w:rFonts w:ascii="宋体" w:hAnsi="宋体"/>
                <w:szCs w:val="21"/>
              </w:rPr>
            </w:pPr>
            <w:r>
              <w:rPr>
                <w:rFonts w:hint="eastAsia" w:ascii="宋体" w:hAnsi="宋体" w:cs="宋体"/>
                <w:szCs w:val="21"/>
              </w:rPr>
              <w:t>红枣</w:t>
            </w:r>
          </w:p>
        </w:tc>
        <w:tc>
          <w:tcPr>
            <w:tcW w:w="1134" w:type="dxa"/>
            <w:vAlign w:val="center"/>
          </w:tcPr>
          <w:p w14:paraId="1CA79365">
            <w:pPr>
              <w:jc w:val="center"/>
              <w:rPr>
                <w:rFonts w:hint="eastAsia" w:ascii="宋体" w:hAnsi="宋体" w:eastAsia="宋体" w:cs="宋体"/>
                <w:i/>
                <w:iCs/>
                <w:color w:val="000000"/>
                <w:szCs w:val="21"/>
                <w:lang w:val="en-US" w:eastAsia="zh-CN"/>
              </w:rPr>
            </w:pPr>
            <w:r>
              <w:rPr>
                <w:rFonts w:hint="eastAsia"/>
              </w:rPr>
              <w:t>震荡筑底</w:t>
            </w:r>
          </w:p>
        </w:tc>
        <w:tc>
          <w:tcPr>
            <w:tcW w:w="6804" w:type="dxa"/>
            <w:vMerge w:val="continue"/>
            <w:shd w:val="clear" w:color="auto" w:fill="auto"/>
            <w:vAlign w:val="center"/>
          </w:tcPr>
          <w:p w14:paraId="5F7AC7A2">
            <w:pPr>
              <w:widowControl/>
              <w:jc w:val="left"/>
            </w:pPr>
          </w:p>
        </w:tc>
      </w:tr>
      <w:tr w14:paraId="159B2E40">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932" w:hRule="atLeast"/>
          <w:jc w:val="center"/>
        </w:trPr>
        <w:tc>
          <w:tcPr>
            <w:tcW w:w="631" w:type="dxa"/>
            <w:vMerge w:val="continue"/>
            <w:vAlign w:val="center"/>
          </w:tcPr>
          <w:p w14:paraId="267D8C4C">
            <w:pPr>
              <w:jc w:val="center"/>
              <w:rPr>
                <w:rFonts w:ascii="宋体" w:hAnsi="宋体"/>
                <w:b/>
                <w:sz w:val="24"/>
                <w:szCs w:val="21"/>
              </w:rPr>
            </w:pPr>
          </w:p>
        </w:tc>
        <w:tc>
          <w:tcPr>
            <w:tcW w:w="1517" w:type="dxa"/>
            <w:vAlign w:val="center"/>
          </w:tcPr>
          <w:p w14:paraId="497286E4">
            <w:pPr>
              <w:jc w:val="center"/>
              <w:rPr>
                <w:rFonts w:ascii="宋体" w:hAnsi="宋体"/>
                <w:szCs w:val="21"/>
              </w:rPr>
            </w:pPr>
            <w:r>
              <w:rPr>
                <w:rFonts w:hint="eastAsia" w:ascii="宋体" w:hAnsi="宋体" w:cs="宋体"/>
                <w:szCs w:val="21"/>
              </w:rPr>
              <w:t>橡胶</w:t>
            </w:r>
          </w:p>
        </w:tc>
        <w:tc>
          <w:tcPr>
            <w:tcW w:w="1134" w:type="dxa"/>
            <w:vAlign w:val="center"/>
          </w:tcPr>
          <w:p w14:paraId="1BCA3DAC">
            <w:pPr>
              <w:jc w:val="center"/>
              <w:rPr>
                <w:rFonts w:ascii="宋体" w:hAnsi="宋体" w:cs="宋体"/>
                <w:i/>
                <w:iCs/>
                <w:color w:val="000000"/>
                <w:szCs w:val="21"/>
              </w:rPr>
            </w:pPr>
            <w:r>
              <w:rPr>
                <w:rFonts w:hint="eastAsia"/>
              </w:rPr>
              <w:t>反弹</w:t>
            </w:r>
          </w:p>
        </w:tc>
        <w:tc>
          <w:tcPr>
            <w:tcW w:w="6804" w:type="dxa"/>
            <w:vMerge w:val="continue"/>
            <w:shd w:val="clear" w:color="auto" w:fill="auto"/>
            <w:vAlign w:val="top"/>
          </w:tcPr>
          <w:p w14:paraId="23C73ABB"/>
        </w:tc>
      </w:tr>
      <w:tr w14:paraId="6529419A">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966" w:hRule="atLeast"/>
          <w:jc w:val="center"/>
        </w:trPr>
        <w:tc>
          <w:tcPr>
            <w:tcW w:w="631" w:type="dxa"/>
            <w:vMerge w:val="continue"/>
            <w:vAlign w:val="center"/>
          </w:tcPr>
          <w:p w14:paraId="71A706F7">
            <w:pPr>
              <w:jc w:val="center"/>
              <w:rPr>
                <w:rFonts w:ascii="宋体" w:hAnsi="宋体"/>
                <w:b/>
                <w:sz w:val="24"/>
                <w:szCs w:val="21"/>
              </w:rPr>
            </w:pPr>
          </w:p>
        </w:tc>
        <w:tc>
          <w:tcPr>
            <w:tcW w:w="1517" w:type="dxa"/>
            <w:vAlign w:val="center"/>
          </w:tcPr>
          <w:p w14:paraId="7DBA9081">
            <w:pPr>
              <w:jc w:val="center"/>
              <w:rPr>
                <w:rFonts w:ascii="宋体" w:hAnsi="宋体"/>
                <w:szCs w:val="21"/>
              </w:rPr>
            </w:pPr>
            <w:r>
              <w:rPr>
                <w:rFonts w:hint="eastAsia" w:ascii="宋体" w:hAnsi="宋体" w:cs="宋体"/>
                <w:szCs w:val="21"/>
              </w:rPr>
              <w:t>白糖</w:t>
            </w:r>
          </w:p>
        </w:tc>
        <w:tc>
          <w:tcPr>
            <w:tcW w:w="1134" w:type="dxa"/>
            <w:vAlign w:val="center"/>
          </w:tcPr>
          <w:p w14:paraId="71F38148">
            <w:pPr>
              <w:jc w:val="center"/>
              <w:rPr>
                <w:rFonts w:ascii="宋体" w:hAnsi="宋体" w:cs="宋体"/>
                <w:i/>
                <w:iCs/>
                <w:color w:val="000000"/>
                <w:szCs w:val="21"/>
              </w:rPr>
            </w:pPr>
            <w:r>
              <w:rPr>
                <w:rFonts w:hint="eastAsia"/>
              </w:rPr>
              <w:t>反弹</w:t>
            </w:r>
          </w:p>
        </w:tc>
        <w:tc>
          <w:tcPr>
            <w:tcW w:w="6804" w:type="dxa"/>
            <w:vMerge w:val="continue"/>
            <w:shd w:val="clear" w:color="auto" w:fill="auto"/>
            <w:vAlign w:val="top"/>
          </w:tcPr>
          <w:p w14:paraId="3A601F67"/>
        </w:tc>
      </w:tr>
      <w:tr w14:paraId="2C7B2342">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620" w:hRule="atLeast"/>
          <w:jc w:val="center"/>
        </w:trPr>
        <w:tc>
          <w:tcPr>
            <w:tcW w:w="631" w:type="dxa"/>
            <w:vMerge w:val="restart"/>
            <w:vAlign w:val="center"/>
          </w:tcPr>
          <w:p w14:paraId="63A02DE4">
            <w:pPr>
              <w:jc w:val="center"/>
              <w:rPr>
                <w:rFonts w:ascii="宋体" w:hAnsi="宋体"/>
                <w:b/>
                <w:sz w:val="24"/>
                <w:szCs w:val="21"/>
              </w:rPr>
            </w:pPr>
          </w:p>
          <w:p w14:paraId="2A356A3F">
            <w:pPr>
              <w:jc w:val="center"/>
              <w:rPr>
                <w:rFonts w:ascii="宋体" w:hAnsi="宋体"/>
                <w:b/>
                <w:sz w:val="24"/>
                <w:szCs w:val="21"/>
              </w:rPr>
            </w:pPr>
          </w:p>
          <w:p w14:paraId="484956AD">
            <w:pPr>
              <w:jc w:val="center"/>
              <w:rPr>
                <w:rFonts w:ascii="宋体" w:hAnsi="宋体"/>
                <w:b/>
                <w:sz w:val="24"/>
                <w:szCs w:val="21"/>
              </w:rPr>
            </w:pPr>
          </w:p>
          <w:p w14:paraId="57A4EAF4">
            <w:pPr>
              <w:jc w:val="center"/>
              <w:rPr>
                <w:rFonts w:ascii="宋体" w:hAnsi="宋体"/>
                <w:b/>
                <w:sz w:val="24"/>
                <w:szCs w:val="21"/>
              </w:rPr>
            </w:pPr>
          </w:p>
          <w:p w14:paraId="42C59B2A">
            <w:pPr>
              <w:jc w:val="center"/>
              <w:rPr>
                <w:rFonts w:ascii="宋体" w:hAnsi="宋体"/>
                <w:b/>
                <w:sz w:val="24"/>
                <w:szCs w:val="21"/>
              </w:rPr>
            </w:pPr>
          </w:p>
          <w:p w14:paraId="4798A090">
            <w:pPr>
              <w:jc w:val="center"/>
              <w:rPr>
                <w:rFonts w:ascii="宋体" w:hAnsi="宋体"/>
                <w:b/>
                <w:sz w:val="24"/>
                <w:szCs w:val="21"/>
              </w:rPr>
            </w:pPr>
          </w:p>
          <w:p w14:paraId="052CCC6A">
            <w:pPr>
              <w:jc w:val="center"/>
              <w:rPr>
                <w:rFonts w:ascii="宋体" w:hAnsi="宋体"/>
                <w:b/>
                <w:sz w:val="24"/>
                <w:szCs w:val="21"/>
              </w:rPr>
            </w:pPr>
          </w:p>
          <w:p w14:paraId="41A0E115">
            <w:pPr>
              <w:jc w:val="center"/>
              <w:rPr>
                <w:rFonts w:ascii="宋体" w:hAnsi="宋体"/>
                <w:b/>
                <w:sz w:val="24"/>
                <w:szCs w:val="21"/>
              </w:rPr>
            </w:pPr>
          </w:p>
          <w:p w14:paraId="70D93DF9">
            <w:pPr>
              <w:jc w:val="center"/>
              <w:rPr>
                <w:rFonts w:ascii="宋体" w:hAnsi="宋体"/>
                <w:b/>
                <w:sz w:val="24"/>
                <w:szCs w:val="21"/>
              </w:rPr>
            </w:pPr>
            <w:r>
              <w:rPr>
                <w:rFonts w:hint="eastAsia" w:ascii="宋体" w:hAnsi="宋体"/>
                <w:b/>
                <w:sz w:val="24"/>
                <w:szCs w:val="21"/>
              </w:rPr>
              <w:t>能化</w:t>
            </w:r>
          </w:p>
          <w:p w14:paraId="6393A625">
            <w:pPr>
              <w:jc w:val="center"/>
              <w:rPr>
                <w:rFonts w:ascii="宋体" w:hAnsi="宋体"/>
                <w:b/>
                <w:sz w:val="24"/>
                <w:szCs w:val="21"/>
              </w:rPr>
            </w:pPr>
            <w:r>
              <w:rPr>
                <w:rFonts w:hint="eastAsia" w:ascii="宋体" w:hAnsi="宋体"/>
                <w:b/>
                <w:sz w:val="24"/>
                <w:szCs w:val="21"/>
              </w:rPr>
              <w:t>产</w:t>
            </w:r>
          </w:p>
          <w:p w14:paraId="6937BDDA">
            <w:pPr>
              <w:jc w:val="center"/>
              <w:rPr>
                <w:rFonts w:ascii="宋体" w:hAnsi="宋体"/>
                <w:b/>
                <w:sz w:val="24"/>
                <w:szCs w:val="21"/>
              </w:rPr>
            </w:pPr>
            <w:r>
              <w:rPr>
                <w:rFonts w:hint="eastAsia" w:ascii="宋体" w:hAnsi="宋体"/>
                <w:b/>
                <w:sz w:val="24"/>
                <w:szCs w:val="21"/>
              </w:rPr>
              <w:t>业</w:t>
            </w:r>
          </w:p>
        </w:tc>
        <w:tc>
          <w:tcPr>
            <w:tcW w:w="1517" w:type="dxa"/>
            <w:vAlign w:val="center"/>
          </w:tcPr>
          <w:p w14:paraId="29B54B3E">
            <w:pPr>
              <w:spacing w:line="276" w:lineRule="auto"/>
              <w:jc w:val="center"/>
              <w:rPr>
                <w:rFonts w:asciiTheme="minorEastAsia" w:hAnsiTheme="minorEastAsia" w:cstheme="minorEastAsia"/>
                <w:szCs w:val="21"/>
              </w:rPr>
            </w:pPr>
            <w:r>
              <w:rPr>
                <w:rFonts w:hint="eastAsia" w:asciiTheme="minorEastAsia" w:hAnsiTheme="minorEastAsia" w:cstheme="minorEastAsia"/>
                <w:szCs w:val="21"/>
              </w:rPr>
              <w:t>原油</w:t>
            </w:r>
          </w:p>
        </w:tc>
        <w:tc>
          <w:tcPr>
            <w:tcW w:w="1134" w:type="dxa"/>
            <w:vAlign w:val="center"/>
          </w:tcPr>
          <w:p w14:paraId="452E66F8">
            <w:pPr>
              <w:tabs>
                <w:tab w:val="left" w:pos="7088"/>
              </w:tabs>
              <w:adjustRightInd w:val="0"/>
              <w:snapToGrid w:val="0"/>
              <w:spacing w:line="276" w:lineRule="auto"/>
              <w:jc w:val="center"/>
              <w:rPr>
                <w:rFonts w:asciiTheme="minorEastAsia" w:hAnsiTheme="minorEastAsia" w:cstheme="minorEastAsia"/>
                <w:i/>
                <w:iCs/>
                <w:szCs w:val="21"/>
              </w:rPr>
            </w:pPr>
            <w:r>
              <w:rPr>
                <w:rFonts w:hint="eastAsia" w:asciiTheme="minorEastAsia" w:hAnsiTheme="minorEastAsia" w:cstheme="minorEastAsia"/>
                <w:szCs w:val="21"/>
              </w:rPr>
              <w:t>观望</w:t>
            </w:r>
          </w:p>
        </w:tc>
        <w:tc>
          <w:tcPr>
            <w:tcW w:w="6804" w:type="dxa"/>
            <w:vMerge w:val="restart"/>
            <w:shd w:val="clear" w:color="auto" w:fill="auto"/>
            <w:vAlign w:val="top"/>
          </w:tcPr>
          <w:p w14:paraId="58C7551C">
            <w:pPr>
              <w:tabs>
                <w:tab w:val="left" w:pos="7088"/>
              </w:tabs>
              <w:adjustRightInd w:val="0"/>
              <w:snapToGrid w:val="0"/>
              <w:spacing w:line="276" w:lineRule="auto"/>
              <w:jc w:val="left"/>
              <w:rPr>
                <w:rFonts w:hint="eastAsia" w:asciiTheme="minorEastAsia" w:hAnsiTheme="minorEastAsia"/>
                <w:szCs w:val="21"/>
              </w:rPr>
            </w:pPr>
            <w:r>
              <w:rPr>
                <w:rFonts w:hint="eastAsia" w:asciiTheme="minorEastAsia" w:hAnsiTheme="minorEastAsia"/>
                <w:b/>
                <w:bCs/>
                <w:szCs w:val="21"/>
              </w:rPr>
              <w:t>原油</w:t>
            </w:r>
            <w:r>
              <w:rPr>
                <w:rFonts w:hint="eastAsia" w:asciiTheme="minorEastAsia" w:hAnsiTheme="minorEastAsia"/>
                <w:szCs w:val="21"/>
              </w:rPr>
              <w:t>：近期市场主要支撑来自俄乌冲突力度增强带来的潜在供应风险，此外多属利空因素。中东局势无论是黎巴嫩还是伊朗均有缓和，美国原油继续累库，需求也暂无明显改善。今日市场缺乏重要事件和数据指引，预计关注点仍在俄乌局势和需求端。</w:t>
            </w:r>
            <w:r>
              <w:rPr>
                <w:rFonts w:hint="eastAsia" w:asciiTheme="minorEastAsia" w:hAnsiTheme="minorEastAsia"/>
                <w:szCs w:val="21"/>
                <w:lang w:val="en-US" w:eastAsia="zh-CN"/>
              </w:rPr>
              <w:t>预计</w:t>
            </w:r>
            <w:r>
              <w:rPr>
                <w:rFonts w:hint="eastAsia" w:asciiTheme="minorEastAsia" w:hAnsiTheme="minorEastAsia"/>
                <w:szCs w:val="21"/>
              </w:rPr>
              <w:t>布油宽幅震荡。</w:t>
            </w:r>
          </w:p>
          <w:p w14:paraId="5F42EF8E">
            <w:pPr>
              <w:tabs>
                <w:tab w:val="left" w:pos="7088"/>
              </w:tabs>
              <w:adjustRightInd w:val="0"/>
              <w:snapToGrid w:val="0"/>
              <w:spacing w:line="276" w:lineRule="auto"/>
              <w:jc w:val="left"/>
              <w:rPr>
                <w:rFonts w:asciiTheme="minorEastAsia" w:hAnsiTheme="minorEastAsia"/>
                <w:szCs w:val="21"/>
              </w:rPr>
            </w:pPr>
            <w:r>
              <w:rPr>
                <w:rFonts w:hint="eastAsia" w:asciiTheme="minorEastAsia" w:hAnsiTheme="minorEastAsia"/>
                <w:b/>
                <w:bCs/>
                <w:szCs w:val="21"/>
              </w:rPr>
              <w:t>PTA</w:t>
            </w:r>
            <w:r>
              <w:rPr>
                <w:rFonts w:hint="eastAsia" w:asciiTheme="minorEastAsia" w:hAnsiTheme="minorEastAsia"/>
                <w:szCs w:val="21"/>
              </w:rPr>
              <w:t>：</w:t>
            </w:r>
            <w:r>
              <w:rPr>
                <w:rFonts w:hint="eastAsia" w:asciiTheme="minorEastAsia" w:hAnsiTheme="minorEastAsia"/>
                <w:szCs w:val="21"/>
                <w:lang w:val="en-US" w:eastAsia="zh-CN"/>
              </w:rPr>
              <w:t>市场空好博弈迹象增强，布伦特暂时在71-74美元区间窄幅整理。PXN价差183美元/吨，现货TA加</w:t>
            </w:r>
            <w:r>
              <w:rPr>
                <w:rFonts w:hint="eastAsia" w:asciiTheme="minorEastAsia" w:hAnsiTheme="minorEastAsia"/>
                <w:szCs w:val="21"/>
              </w:rPr>
              <w:t>工差在</w:t>
            </w:r>
            <w:r>
              <w:rPr>
                <w:rFonts w:hint="eastAsia" w:asciiTheme="minorEastAsia" w:hAnsiTheme="minorEastAsia"/>
                <w:szCs w:val="21"/>
                <w:lang w:val="en-US" w:eastAsia="zh-CN"/>
              </w:rPr>
              <w:t>320</w:t>
            </w:r>
            <w:r>
              <w:rPr>
                <w:rFonts w:hint="eastAsia" w:asciiTheme="minorEastAsia" w:hAnsiTheme="minorEastAsia"/>
                <w:szCs w:val="21"/>
              </w:rPr>
              <w:t>元/吨附近，TA负荷</w:t>
            </w:r>
            <w:r>
              <w:rPr>
                <w:rFonts w:hint="eastAsia" w:asciiTheme="minorEastAsia" w:hAnsiTheme="minorEastAsia"/>
                <w:szCs w:val="21"/>
                <w:lang w:val="en-US" w:eastAsia="zh-CN"/>
              </w:rPr>
              <w:t>略微回升至</w:t>
            </w:r>
            <w:r>
              <w:rPr>
                <w:rFonts w:hint="eastAsia" w:asciiTheme="minorEastAsia" w:hAnsiTheme="minorEastAsia"/>
                <w:szCs w:val="21"/>
              </w:rPr>
              <w:t>8</w:t>
            </w:r>
            <w:r>
              <w:rPr>
                <w:rFonts w:hint="eastAsia" w:asciiTheme="minorEastAsia" w:hAnsiTheme="minorEastAsia"/>
                <w:szCs w:val="21"/>
                <w:lang w:val="en-US" w:eastAsia="zh-CN"/>
              </w:rPr>
              <w:t>1.1</w:t>
            </w:r>
            <w:r>
              <w:rPr>
                <w:rFonts w:hint="eastAsia" w:asciiTheme="minorEastAsia" w:hAnsiTheme="minorEastAsia"/>
                <w:szCs w:val="21"/>
              </w:rPr>
              <w:t>%</w:t>
            </w:r>
            <w:r>
              <w:rPr>
                <w:rFonts w:hint="eastAsia" w:asciiTheme="minorEastAsia" w:hAnsiTheme="minorEastAsia"/>
                <w:szCs w:val="21"/>
                <w:lang w:val="en-US" w:eastAsia="zh-CN"/>
              </w:rPr>
              <w:t>附近</w:t>
            </w:r>
            <w:r>
              <w:rPr>
                <w:rFonts w:hint="eastAsia" w:asciiTheme="minorEastAsia" w:hAnsiTheme="minorEastAsia"/>
                <w:szCs w:val="21"/>
              </w:rPr>
              <w:t>；聚酯负荷</w:t>
            </w:r>
            <w:r>
              <w:rPr>
                <w:rFonts w:hint="eastAsia" w:asciiTheme="minorEastAsia" w:hAnsiTheme="minorEastAsia"/>
                <w:szCs w:val="21"/>
                <w:lang w:val="en-US" w:eastAsia="zh-CN"/>
              </w:rPr>
              <w:t>回落至</w:t>
            </w:r>
            <w:r>
              <w:rPr>
                <w:rFonts w:hint="eastAsia" w:asciiTheme="minorEastAsia" w:hAnsiTheme="minorEastAsia"/>
                <w:szCs w:val="21"/>
              </w:rPr>
              <w:t>9</w:t>
            </w:r>
            <w:r>
              <w:rPr>
                <w:rFonts w:hint="eastAsia" w:asciiTheme="minorEastAsia" w:hAnsiTheme="minorEastAsia"/>
                <w:szCs w:val="21"/>
                <w:lang w:val="en-US" w:eastAsia="zh-CN"/>
              </w:rPr>
              <w:t>2.7</w:t>
            </w:r>
            <w:r>
              <w:rPr>
                <w:rFonts w:hint="eastAsia" w:asciiTheme="minorEastAsia" w:hAnsiTheme="minorEastAsia"/>
                <w:szCs w:val="21"/>
              </w:rPr>
              <w:t>%附近。</w:t>
            </w:r>
            <w:r>
              <w:rPr>
                <w:rFonts w:hint="eastAsia" w:asciiTheme="minorEastAsia" w:hAnsiTheme="minorEastAsia"/>
                <w:szCs w:val="21"/>
                <w:lang w:val="en-US" w:eastAsia="zh-CN"/>
              </w:rPr>
              <w:t>短期</w:t>
            </w:r>
            <w:r>
              <w:rPr>
                <w:rFonts w:hint="eastAsia" w:asciiTheme="minorEastAsia" w:hAnsiTheme="minorEastAsia"/>
                <w:szCs w:val="21"/>
              </w:rPr>
              <w:t>PTA自身供需不差，但PTA价格跟随原料端波动为主。</w:t>
            </w:r>
          </w:p>
          <w:p w14:paraId="43BA45D1">
            <w:pPr>
              <w:tabs>
                <w:tab w:val="left" w:pos="7088"/>
              </w:tabs>
              <w:adjustRightInd w:val="0"/>
              <w:snapToGrid w:val="0"/>
              <w:spacing w:line="276" w:lineRule="auto"/>
              <w:jc w:val="left"/>
              <w:rPr>
                <w:rFonts w:asciiTheme="minorEastAsia" w:hAnsiTheme="minorEastAsia"/>
                <w:szCs w:val="21"/>
              </w:rPr>
            </w:pPr>
            <w:r>
              <w:rPr>
                <w:rFonts w:hint="eastAsia" w:asciiTheme="minorEastAsia" w:hAnsiTheme="minorEastAsia"/>
                <w:b/>
                <w:bCs/>
                <w:szCs w:val="21"/>
              </w:rPr>
              <w:t>MEG</w:t>
            </w:r>
            <w:r>
              <w:rPr>
                <w:rFonts w:hint="eastAsia" w:asciiTheme="minorEastAsia" w:hAnsiTheme="minorEastAsia"/>
                <w:szCs w:val="21"/>
              </w:rPr>
              <w:t>: 国产MEG负荷</w:t>
            </w:r>
            <w:r>
              <w:rPr>
                <w:rFonts w:hint="eastAsia" w:asciiTheme="minorEastAsia" w:hAnsiTheme="minorEastAsia"/>
                <w:szCs w:val="21"/>
                <w:lang w:val="en-US" w:eastAsia="zh-CN"/>
              </w:rPr>
              <w:t>回升</w:t>
            </w:r>
            <w:r>
              <w:rPr>
                <w:rFonts w:hint="eastAsia" w:asciiTheme="minorEastAsia" w:hAnsiTheme="minorEastAsia"/>
                <w:szCs w:val="21"/>
              </w:rPr>
              <w:t>至</w:t>
            </w:r>
            <w:r>
              <w:rPr>
                <w:rFonts w:hint="eastAsia" w:asciiTheme="minorEastAsia" w:hAnsiTheme="minorEastAsia"/>
                <w:szCs w:val="21"/>
                <w:lang w:val="en-US" w:eastAsia="zh-CN"/>
              </w:rPr>
              <w:t>71.03</w:t>
            </w:r>
            <w:r>
              <w:rPr>
                <w:rFonts w:hint="eastAsia" w:asciiTheme="minorEastAsia" w:hAnsiTheme="minorEastAsia"/>
                <w:szCs w:val="21"/>
              </w:rPr>
              <w:t>%，上周港口</w:t>
            </w:r>
            <w:r>
              <w:rPr>
                <w:rFonts w:hint="eastAsia" w:asciiTheme="minorEastAsia" w:hAnsiTheme="minorEastAsia"/>
                <w:szCs w:val="21"/>
                <w:lang w:val="en-US" w:eastAsia="zh-CN"/>
              </w:rPr>
              <w:t>累库</w:t>
            </w:r>
            <w:r>
              <w:rPr>
                <w:rFonts w:hint="eastAsia" w:asciiTheme="minorEastAsia" w:hAnsiTheme="minorEastAsia"/>
                <w:szCs w:val="21"/>
                <w:lang w:eastAsia="zh-CN"/>
              </w:rPr>
              <w:t>，</w:t>
            </w:r>
            <w:r>
              <w:rPr>
                <w:rFonts w:hint="eastAsia" w:asciiTheme="minorEastAsia" w:hAnsiTheme="minorEastAsia"/>
                <w:szCs w:val="21"/>
                <w:lang w:val="en-US" w:eastAsia="zh-CN"/>
              </w:rPr>
              <w:t>本周到港依旧不少</w:t>
            </w:r>
            <w:r>
              <w:rPr>
                <w:rFonts w:hint="eastAsia" w:asciiTheme="minorEastAsia" w:hAnsiTheme="minorEastAsia"/>
                <w:szCs w:val="21"/>
              </w:rPr>
              <w:t>；聚酯负荷</w:t>
            </w:r>
            <w:r>
              <w:rPr>
                <w:rFonts w:hint="eastAsia" w:asciiTheme="minorEastAsia" w:hAnsiTheme="minorEastAsia"/>
                <w:szCs w:val="21"/>
                <w:lang w:val="en-US" w:eastAsia="zh-CN"/>
              </w:rPr>
              <w:t>回落至</w:t>
            </w:r>
            <w:r>
              <w:rPr>
                <w:rFonts w:hint="eastAsia" w:asciiTheme="minorEastAsia" w:hAnsiTheme="minorEastAsia"/>
                <w:szCs w:val="21"/>
              </w:rPr>
              <w:t>9</w:t>
            </w:r>
            <w:r>
              <w:rPr>
                <w:rFonts w:hint="eastAsia" w:asciiTheme="minorEastAsia" w:hAnsiTheme="minorEastAsia"/>
                <w:szCs w:val="21"/>
                <w:lang w:val="en-US" w:eastAsia="zh-CN"/>
              </w:rPr>
              <w:t>2.7</w:t>
            </w:r>
            <w:r>
              <w:rPr>
                <w:rFonts w:hint="eastAsia" w:asciiTheme="minorEastAsia" w:hAnsiTheme="minorEastAsia"/>
                <w:szCs w:val="21"/>
              </w:rPr>
              <w:t>%附近；原油</w:t>
            </w:r>
            <w:r>
              <w:rPr>
                <w:rFonts w:hint="eastAsia" w:asciiTheme="minorEastAsia" w:hAnsiTheme="minorEastAsia"/>
                <w:szCs w:val="21"/>
                <w:lang w:val="en-US" w:eastAsia="zh-CN"/>
              </w:rPr>
              <w:t>震荡</w:t>
            </w:r>
            <w:r>
              <w:rPr>
                <w:rFonts w:hint="eastAsia" w:asciiTheme="minorEastAsia" w:hAnsiTheme="minorEastAsia"/>
                <w:szCs w:val="21"/>
              </w:rPr>
              <w:t>，动煤现货</w:t>
            </w:r>
            <w:r>
              <w:rPr>
                <w:rFonts w:hint="eastAsia" w:asciiTheme="minorEastAsia" w:hAnsiTheme="minorEastAsia"/>
                <w:szCs w:val="21"/>
                <w:lang w:val="en-US" w:eastAsia="zh-CN"/>
              </w:rPr>
              <w:t>震荡</w:t>
            </w:r>
            <w:r>
              <w:rPr>
                <w:rFonts w:hint="eastAsia" w:asciiTheme="minorEastAsia" w:hAnsiTheme="minorEastAsia"/>
                <w:szCs w:val="21"/>
              </w:rPr>
              <w:t>，东北亚</w:t>
            </w:r>
            <w:r>
              <w:rPr>
                <w:rFonts w:hint="eastAsia" w:asciiTheme="minorEastAsia" w:hAnsiTheme="minorEastAsia"/>
                <w:szCs w:val="21"/>
                <w:lang w:val="en-US" w:eastAsia="zh-CN"/>
              </w:rPr>
              <w:t>乙烯震荡</w:t>
            </w:r>
            <w:r>
              <w:rPr>
                <w:rFonts w:hint="eastAsia" w:asciiTheme="minorEastAsia" w:hAnsiTheme="minorEastAsia"/>
                <w:szCs w:val="21"/>
              </w:rPr>
              <w:t>，原料端</w:t>
            </w:r>
            <w:r>
              <w:rPr>
                <w:rFonts w:hint="eastAsia" w:asciiTheme="minorEastAsia" w:hAnsiTheme="minorEastAsia"/>
                <w:szCs w:val="21"/>
                <w:lang w:val="en-US" w:eastAsia="zh-CN"/>
              </w:rPr>
              <w:t>震荡</w:t>
            </w:r>
            <w:r>
              <w:rPr>
                <w:rFonts w:hint="eastAsia" w:asciiTheme="minorEastAsia" w:hAnsiTheme="minorEastAsia"/>
                <w:szCs w:val="21"/>
              </w:rPr>
              <w:t>，</w:t>
            </w:r>
            <w:r>
              <w:rPr>
                <w:rFonts w:hint="eastAsia" w:asciiTheme="minorEastAsia" w:hAnsiTheme="minorEastAsia"/>
                <w:szCs w:val="21"/>
                <w:lang w:val="en-US" w:eastAsia="zh-CN"/>
              </w:rPr>
              <w:t>EG自身供需转弱，</w:t>
            </w:r>
            <w:r>
              <w:rPr>
                <w:rFonts w:hint="eastAsia" w:asciiTheme="minorEastAsia" w:hAnsiTheme="minorEastAsia"/>
                <w:szCs w:val="21"/>
              </w:rPr>
              <w:t>短期盘面震荡</w:t>
            </w:r>
            <w:r>
              <w:rPr>
                <w:rFonts w:hint="eastAsia" w:asciiTheme="minorEastAsia" w:hAnsiTheme="minorEastAsia"/>
                <w:szCs w:val="21"/>
                <w:lang w:val="en-US" w:eastAsia="zh-CN"/>
              </w:rPr>
              <w:t>为主</w:t>
            </w:r>
            <w:r>
              <w:rPr>
                <w:rFonts w:hint="eastAsia" w:asciiTheme="minorEastAsia" w:hAnsiTheme="minorEastAsia"/>
                <w:szCs w:val="21"/>
              </w:rPr>
              <w:t>。</w:t>
            </w:r>
          </w:p>
          <w:p w14:paraId="6A6ED46A">
            <w:pPr>
              <w:tabs>
                <w:tab w:val="left" w:pos="7088"/>
              </w:tabs>
              <w:adjustRightInd w:val="0"/>
              <w:snapToGrid w:val="0"/>
              <w:spacing w:line="276" w:lineRule="auto"/>
              <w:jc w:val="left"/>
              <w:rPr>
                <w:rFonts w:hint="eastAsia" w:asciiTheme="minorEastAsia" w:hAnsiTheme="minorEastAsia"/>
                <w:szCs w:val="21"/>
              </w:rPr>
            </w:pPr>
            <w:r>
              <w:rPr>
                <w:rFonts w:hint="eastAsia" w:asciiTheme="minorEastAsia" w:hAnsiTheme="minorEastAsia"/>
                <w:b/>
                <w:bCs/>
                <w:szCs w:val="21"/>
              </w:rPr>
              <w:t>PF</w:t>
            </w:r>
            <w:r>
              <w:rPr>
                <w:rFonts w:hint="eastAsia" w:asciiTheme="minorEastAsia" w:hAnsiTheme="minorEastAsia"/>
                <w:szCs w:val="21"/>
              </w:rPr>
              <w:t>:需求预期偏空，近日行业产销数据稍有转弱；叠加成本端缺乏持续利好提振，预计今日涤纶短纤市场或偏弱整理。</w:t>
            </w:r>
          </w:p>
          <w:p w14:paraId="036C0920">
            <w:pPr>
              <w:tabs>
                <w:tab w:val="left" w:pos="7088"/>
              </w:tabs>
              <w:adjustRightInd w:val="0"/>
              <w:snapToGrid w:val="0"/>
              <w:spacing w:line="276" w:lineRule="auto"/>
              <w:jc w:val="left"/>
              <w:rPr>
                <w:rFonts w:hint="eastAsia" w:asciiTheme="minorEastAsia" w:hAnsiTheme="minorEastAsia"/>
                <w:szCs w:val="21"/>
              </w:rPr>
            </w:pPr>
            <w:r>
              <w:rPr>
                <w:rFonts w:hint="eastAsia" w:asciiTheme="minorEastAsia" w:hAnsiTheme="minorEastAsia"/>
                <w:b/>
                <w:bCs/>
                <w:szCs w:val="21"/>
              </w:rPr>
              <w:t>PR:</w:t>
            </w:r>
            <w:r>
              <w:rPr>
                <w:rFonts w:hint="eastAsia" w:asciiTheme="minorEastAsia" w:hAnsiTheme="minorEastAsia"/>
                <w:szCs w:val="21"/>
              </w:rPr>
              <w:t>终端需求表现疲弱，部分货源出货压力增加。然外围不确定因素影响，聚酯瓶片市场或窄幅震荡整理。</w:t>
            </w:r>
          </w:p>
          <w:p w14:paraId="72A54F13">
            <w:pPr>
              <w:tabs>
                <w:tab w:val="left" w:pos="7088"/>
              </w:tabs>
              <w:adjustRightInd w:val="0"/>
              <w:snapToGrid w:val="0"/>
              <w:spacing w:line="276" w:lineRule="auto"/>
              <w:jc w:val="left"/>
              <w:rPr>
                <w:rFonts w:asciiTheme="minorEastAsia" w:hAnsiTheme="minorEastAsia"/>
                <w:i/>
                <w:iCs/>
                <w:szCs w:val="21"/>
              </w:rPr>
            </w:pPr>
          </w:p>
        </w:tc>
      </w:tr>
      <w:tr w14:paraId="593491CD">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527" w:hRule="atLeast"/>
          <w:jc w:val="center"/>
        </w:trPr>
        <w:tc>
          <w:tcPr>
            <w:tcW w:w="631" w:type="dxa"/>
            <w:vMerge w:val="continue"/>
            <w:vAlign w:val="center"/>
          </w:tcPr>
          <w:p w14:paraId="1DD035A6">
            <w:pPr>
              <w:spacing w:line="276" w:lineRule="auto"/>
              <w:jc w:val="center"/>
              <w:rPr>
                <w:rFonts w:ascii="宋体" w:hAnsi="宋体"/>
                <w:b/>
                <w:sz w:val="24"/>
                <w:szCs w:val="21"/>
              </w:rPr>
            </w:pPr>
          </w:p>
        </w:tc>
        <w:tc>
          <w:tcPr>
            <w:tcW w:w="1517" w:type="dxa"/>
            <w:vAlign w:val="center"/>
          </w:tcPr>
          <w:p w14:paraId="656EFC5E">
            <w:pPr>
              <w:spacing w:line="276" w:lineRule="auto"/>
              <w:jc w:val="center"/>
              <w:rPr>
                <w:rFonts w:asciiTheme="minorEastAsia" w:hAnsiTheme="minorEastAsia" w:eastAsiaTheme="minorEastAsia" w:cstheme="minorEastAsia"/>
                <w:szCs w:val="21"/>
              </w:rPr>
            </w:pPr>
            <w:r>
              <w:rPr>
                <w:rFonts w:hint="eastAsia" w:asciiTheme="minorEastAsia" w:hAnsiTheme="minorEastAsia" w:cstheme="minorEastAsia"/>
                <w:szCs w:val="21"/>
              </w:rPr>
              <w:t>PX</w:t>
            </w:r>
          </w:p>
        </w:tc>
        <w:tc>
          <w:tcPr>
            <w:tcW w:w="1134" w:type="dxa"/>
            <w:vAlign w:val="center"/>
          </w:tcPr>
          <w:p w14:paraId="4FCA91D6">
            <w:pPr>
              <w:spacing w:line="276" w:lineRule="auto"/>
              <w:jc w:val="center"/>
              <w:rPr>
                <w:rFonts w:asciiTheme="minorEastAsia" w:hAnsiTheme="minorEastAsia" w:cstheme="minorEastAsia"/>
                <w:i/>
                <w:iCs/>
                <w:szCs w:val="21"/>
              </w:rPr>
            </w:pPr>
            <w:r>
              <w:rPr>
                <w:rFonts w:hint="eastAsia" w:asciiTheme="minorEastAsia" w:hAnsiTheme="minorEastAsia" w:cstheme="minorEastAsia"/>
                <w:szCs w:val="21"/>
              </w:rPr>
              <w:t>观望</w:t>
            </w:r>
          </w:p>
        </w:tc>
        <w:tc>
          <w:tcPr>
            <w:tcW w:w="6804" w:type="dxa"/>
            <w:vMerge w:val="continue"/>
            <w:shd w:val="clear" w:color="auto" w:fill="auto"/>
            <w:vAlign w:val="top"/>
          </w:tcPr>
          <w:p w14:paraId="029D4F0E">
            <w:pPr>
              <w:tabs>
                <w:tab w:val="left" w:pos="7088"/>
              </w:tabs>
              <w:adjustRightInd w:val="0"/>
              <w:snapToGrid w:val="0"/>
              <w:spacing w:line="276" w:lineRule="auto"/>
              <w:jc w:val="left"/>
              <w:rPr>
                <w:rFonts w:asciiTheme="minorEastAsia" w:hAnsiTheme="minorEastAsia"/>
                <w:b/>
                <w:i/>
                <w:iCs/>
                <w:szCs w:val="21"/>
              </w:rPr>
            </w:pPr>
          </w:p>
        </w:tc>
      </w:tr>
      <w:tr w14:paraId="476D9006">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056" w:hRule="atLeast"/>
          <w:jc w:val="center"/>
        </w:trPr>
        <w:tc>
          <w:tcPr>
            <w:tcW w:w="631" w:type="dxa"/>
            <w:vMerge w:val="continue"/>
            <w:vAlign w:val="center"/>
          </w:tcPr>
          <w:p w14:paraId="4AEDFEB2">
            <w:pPr>
              <w:spacing w:line="276" w:lineRule="auto"/>
              <w:jc w:val="center"/>
              <w:rPr>
                <w:rFonts w:ascii="宋体" w:hAnsi="宋体"/>
                <w:b/>
                <w:sz w:val="24"/>
                <w:szCs w:val="21"/>
              </w:rPr>
            </w:pPr>
          </w:p>
        </w:tc>
        <w:tc>
          <w:tcPr>
            <w:tcW w:w="1517" w:type="dxa"/>
            <w:vAlign w:val="center"/>
          </w:tcPr>
          <w:p w14:paraId="57DB3448">
            <w:pPr>
              <w:spacing w:line="276" w:lineRule="auto"/>
              <w:jc w:val="center"/>
              <w:rPr>
                <w:rFonts w:ascii="宋体" w:hAnsi="宋体" w:cs="宋体"/>
                <w:szCs w:val="21"/>
              </w:rPr>
            </w:pPr>
            <w:r>
              <w:rPr>
                <w:rFonts w:hint="eastAsia" w:asciiTheme="minorEastAsia" w:hAnsiTheme="minorEastAsia" w:cstheme="minorEastAsia"/>
                <w:szCs w:val="21"/>
              </w:rPr>
              <w:t>PTA</w:t>
            </w:r>
          </w:p>
        </w:tc>
        <w:tc>
          <w:tcPr>
            <w:tcW w:w="1134" w:type="dxa"/>
            <w:vAlign w:val="center"/>
          </w:tcPr>
          <w:p w14:paraId="484FB1FD">
            <w:pPr>
              <w:spacing w:line="276" w:lineRule="auto"/>
              <w:jc w:val="center"/>
              <w:rPr>
                <w:rFonts w:ascii="宋体" w:hAnsi="宋体"/>
                <w:i/>
                <w:iCs/>
                <w:szCs w:val="21"/>
              </w:rPr>
            </w:pPr>
            <w:r>
              <w:rPr>
                <w:rFonts w:hint="eastAsia" w:asciiTheme="minorEastAsia" w:hAnsiTheme="minorEastAsia" w:cstheme="minorEastAsia"/>
                <w:szCs w:val="21"/>
              </w:rPr>
              <w:t>观望</w:t>
            </w:r>
          </w:p>
        </w:tc>
        <w:tc>
          <w:tcPr>
            <w:tcW w:w="6804" w:type="dxa"/>
            <w:vMerge w:val="continue"/>
            <w:shd w:val="clear" w:color="auto" w:fill="auto"/>
            <w:vAlign w:val="top"/>
          </w:tcPr>
          <w:p w14:paraId="4EBD9BCE">
            <w:pPr>
              <w:widowControl/>
              <w:jc w:val="left"/>
              <w:rPr>
                <w:rFonts w:asciiTheme="minorEastAsia" w:hAnsiTheme="minorEastAsia"/>
                <w:b/>
                <w:i/>
                <w:iCs/>
                <w:szCs w:val="21"/>
              </w:rPr>
            </w:pPr>
          </w:p>
        </w:tc>
      </w:tr>
      <w:tr w14:paraId="33D3347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795" w:hRule="atLeast"/>
          <w:jc w:val="center"/>
        </w:trPr>
        <w:tc>
          <w:tcPr>
            <w:tcW w:w="631" w:type="dxa"/>
            <w:vMerge w:val="continue"/>
            <w:vAlign w:val="center"/>
          </w:tcPr>
          <w:p w14:paraId="60A1EBCE">
            <w:pPr>
              <w:spacing w:line="276" w:lineRule="auto"/>
              <w:jc w:val="center"/>
              <w:rPr>
                <w:rFonts w:ascii="宋体" w:hAnsi="宋体"/>
                <w:b/>
                <w:sz w:val="24"/>
                <w:szCs w:val="21"/>
              </w:rPr>
            </w:pPr>
          </w:p>
        </w:tc>
        <w:tc>
          <w:tcPr>
            <w:tcW w:w="1517" w:type="dxa"/>
            <w:vAlign w:val="center"/>
          </w:tcPr>
          <w:p w14:paraId="5DBAC6AE">
            <w:pPr>
              <w:spacing w:line="276" w:lineRule="auto"/>
              <w:jc w:val="center"/>
              <w:rPr>
                <w:rFonts w:ascii="宋体" w:hAnsi="宋体" w:cs="宋体"/>
                <w:szCs w:val="21"/>
              </w:rPr>
            </w:pPr>
            <w:r>
              <w:rPr>
                <w:rFonts w:hint="eastAsia" w:asciiTheme="minorEastAsia" w:hAnsiTheme="minorEastAsia" w:cstheme="minorEastAsia"/>
                <w:szCs w:val="21"/>
              </w:rPr>
              <w:t>MEG</w:t>
            </w:r>
          </w:p>
        </w:tc>
        <w:tc>
          <w:tcPr>
            <w:tcW w:w="1134" w:type="dxa"/>
            <w:vAlign w:val="center"/>
          </w:tcPr>
          <w:p w14:paraId="52510949">
            <w:pPr>
              <w:spacing w:line="276" w:lineRule="auto"/>
              <w:jc w:val="center"/>
              <w:rPr>
                <w:rFonts w:ascii="宋体" w:hAnsi="宋体"/>
                <w:i/>
                <w:iCs/>
                <w:szCs w:val="21"/>
              </w:rPr>
            </w:pPr>
            <w:r>
              <w:rPr>
                <w:rFonts w:hint="eastAsia" w:asciiTheme="minorEastAsia" w:hAnsiTheme="minorEastAsia" w:cstheme="minorEastAsia"/>
                <w:szCs w:val="21"/>
              </w:rPr>
              <w:t>观望</w:t>
            </w:r>
          </w:p>
        </w:tc>
        <w:tc>
          <w:tcPr>
            <w:tcW w:w="6804" w:type="dxa"/>
            <w:vMerge w:val="continue"/>
            <w:shd w:val="clear" w:color="auto" w:fill="auto"/>
            <w:vAlign w:val="top"/>
          </w:tcPr>
          <w:p w14:paraId="07CCC450">
            <w:pPr>
              <w:widowControl/>
              <w:jc w:val="left"/>
              <w:rPr>
                <w:rFonts w:asciiTheme="minorEastAsia" w:hAnsiTheme="minorEastAsia"/>
                <w:b/>
                <w:i/>
                <w:iCs/>
                <w:szCs w:val="21"/>
              </w:rPr>
            </w:pPr>
          </w:p>
        </w:tc>
      </w:tr>
      <w:tr w14:paraId="1219A3E4">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641" w:hRule="atLeast"/>
          <w:jc w:val="center"/>
        </w:trPr>
        <w:tc>
          <w:tcPr>
            <w:tcW w:w="631" w:type="dxa"/>
            <w:vMerge w:val="continue"/>
            <w:vAlign w:val="center"/>
          </w:tcPr>
          <w:p w14:paraId="7244BD18">
            <w:pPr>
              <w:spacing w:line="276" w:lineRule="auto"/>
              <w:rPr>
                <w:rFonts w:asciiTheme="minorEastAsia" w:hAnsiTheme="minorEastAsia"/>
                <w:color w:val="000000"/>
                <w:szCs w:val="21"/>
              </w:rPr>
            </w:pPr>
          </w:p>
        </w:tc>
        <w:tc>
          <w:tcPr>
            <w:tcW w:w="1517" w:type="dxa"/>
            <w:vAlign w:val="center"/>
          </w:tcPr>
          <w:p w14:paraId="72C61B05">
            <w:pPr>
              <w:spacing w:line="276" w:lineRule="auto"/>
              <w:jc w:val="center"/>
              <w:rPr>
                <w:rFonts w:ascii="宋体" w:hAnsi="宋体" w:cs="宋体"/>
                <w:szCs w:val="21"/>
              </w:rPr>
            </w:pPr>
            <w:r>
              <w:rPr>
                <w:rFonts w:hint="eastAsia" w:asciiTheme="minorEastAsia" w:hAnsiTheme="minorEastAsia" w:cstheme="minorEastAsia"/>
                <w:szCs w:val="21"/>
              </w:rPr>
              <w:t>PF</w:t>
            </w:r>
          </w:p>
        </w:tc>
        <w:tc>
          <w:tcPr>
            <w:tcW w:w="1134" w:type="dxa"/>
            <w:vAlign w:val="center"/>
          </w:tcPr>
          <w:p w14:paraId="1E190013">
            <w:pPr>
              <w:spacing w:line="276" w:lineRule="auto"/>
              <w:jc w:val="center"/>
              <w:rPr>
                <w:rFonts w:ascii="宋体" w:hAnsi="宋体"/>
                <w:i/>
                <w:iCs/>
                <w:szCs w:val="21"/>
              </w:rPr>
            </w:pPr>
            <w:r>
              <w:rPr>
                <w:rFonts w:hint="eastAsia" w:asciiTheme="minorEastAsia" w:hAnsiTheme="minorEastAsia" w:cstheme="minorEastAsia"/>
                <w:szCs w:val="21"/>
              </w:rPr>
              <w:t>观望</w:t>
            </w:r>
          </w:p>
        </w:tc>
        <w:tc>
          <w:tcPr>
            <w:tcW w:w="6804" w:type="dxa"/>
            <w:vMerge w:val="continue"/>
            <w:shd w:val="clear" w:color="auto" w:fill="auto"/>
            <w:vAlign w:val="top"/>
          </w:tcPr>
          <w:p w14:paraId="312C23C2">
            <w:pPr>
              <w:widowControl/>
              <w:jc w:val="left"/>
              <w:rPr>
                <w:rFonts w:asciiTheme="minorEastAsia" w:hAnsiTheme="minorEastAsia"/>
                <w:b/>
                <w:i/>
                <w:iCs/>
                <w:szCs w:val="21"/>
              </w:rPr>
            </w:pPr>
          </w:p>
        </w:tc>
      </w:tr>
      <w:tr w14:paraId="56413F4F">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341" w:hRule="atLeast"/>
          <w:jc w:val="center"/>
        </w:trPr>
        <w:tc>
          <w:tcPr>
            <w:tcW w:w="631" w:type="dxa"/>
            <w:vMerge w:val="continue"/>
            <w:vAlign w:val="center"/>
          </w:tcPr>
          <w:p w14:paraId="65BB4070">
            <w:pPr>
              <w:spacing w:line="276" w:lineRule="auto"/>
              <w:rPr>
                <w:rFonts w:asciiTheme="minorEastAsia" w:hAnsiTheme="minorEastAsia"/>
                <w:color w:val="000000"/>
                <w:szCs w:val="21"/>
              </w:rPr>
            </w:pPr>
          </w:p>
        </w:tc>
        <w:tc>
          <w:tcPr>
            <w:tcW w:w="1517" w:type="dxa"/>
            <w:vAlign w:val="center"/>
          </w:tcPr>
          <w:p w14:paraId="0883EACE">
            <w:pPr>
              <w:spacing w:line="276" w:lineRule="auto"/>
              <w:jc w:val="center"/>
              <w:rPr>
                <w:rFonts w:asciiTheme="minorEastAsia" w:hAnsiTheme="minorEastAsia" w:eastAsiaTheme="minorEastAsia" w:cstheme="minorEastAsia"/>
                <w:szCs w:val="21"/>
              </w:rPr>
            </w:pPr>
            <w:r>
              <w:rPr>
                <w:rFonts w:hint="eastAsia" w:asciiTheme="minorEastAsia" w:hAnsiTheme="minorEastAsia" w:cstheme="minorEastAsia"/>
                <w:szCs w:val="21"/>
              </w:rPr>
              <w:t>PR</w:t>
            </w:r>
          </w:p>
        </w:tc>
        <w:tc>
          <w:tcPr>
            <w:tcW w:w="1134" w:type="dxa"/>
            <w:vAlign w:val="center"/>
          </w:tcPr>
          <w:p w14:paraId="10EC269F">
            <w:pPr>
              <w:spacing w:line="276" w:lineRule="auto"/>
              <w:jc w:val="center"/>
              <w:rPr>
                <w:rFonts w:asciiTheme="minorEastAsia" w:hAnsiTheme="minorEastAsia" w:eastAsiaTheme="minorEastAsia" w:cstheme="minorEastAsia"/>
                <w:szCs w:val="21"/>
              </w:rPr>
            </w:pPr>
            <w:r>
              <w:rPr>
                <w:rFonts w:hint="eastAsia" w:asciiTheme="minorEastAsia" w:hAnsiTheme="minorEastAsia" w:cstheme="minorEastAsia"/>
                <w:szCs w:val="21"/>
              </w:rPr>
              <w:t>加工差区间操作</w:t>
            </w:r>
          </w:p>
        </w:tc>
        <w:tc>
          <w:tcPr>
            <w:tcW w:w="6804" w:type="dxa"/>
            <w:vMerge w:val="continue"/>
            <w:shd w:val="clear" w:color="auto" w:fill="auto"/>
            <w:vAlign w:val="top"/>
          </w:tcPr>
          <w:p w14:paraId="43C7C86C">
            <w:pPr>
              <w:widowControl/>
              <w:jc w:val="left"/>
              <w:rPr>
                <w:rFonts w:asciiTheme="minorEastAsia" w:hAnsiTheme="minorEastAsia"/>
                <w:b/>
                <w:i/>
                <w:iCs/>
                <w:szCs w:val="21"/>
              </w:rPr>
            </w:pPr>
          </w:p>
        </w:tc>
      </w:tr>
      <w:tr w14:paraId="7506FBD9">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179" w:hRule="atLeast"/>
          <w:jc w:val="center"/>
        </w:trPr>
        <w:tc>
          <w:tcPr>
            <w:tcW w:w="631" w:type="dxa"/>
            <w:vMerge w:val="continue"/>
            <w:vAlign w:val="center"/>
          </w:tcPr>
          <w:p w14:paraId="757FBFD3">
            <w:pPr>
              <w:spacing w:line="276" w:lineRule="auto"/>
              <w:rPr>
                <w:rFonts w:asciiTheme="minorEastAsia" w:hAnsiTheme="minorEastAsia"/>
                <w:color w:val="000000"/>
                <w:szCs w:val="21"/>
              </w:rPr>
            </w:pPr>
          </w:p>
        </w:tc>
        <w:tc>
          <w:tcPr>
            <w:tcW w:w="1517" w:type="dxa"/>
            <w:vAlign w:val="center"/>
          </w:tcPr>
          <w:p w14:paraId="79056460">
            <w:pPr>
              <w:jc w:val="center"/>
              <w:rPr>
                <w:rFonts w:asciiTheme="minorEastAsia" w:hAnsiTheme="minorEastAsia" w:eastAsiaTheme="minorEastAsia" w:cstheme="minorEastAsia"/>
                <w:szCs w:val="21"/>
              </w:rPr>
            </w:pPr>
            <w:r>
              <w:rPr>
                <w:rFonts w:hint="eastAsia" w:ascii="宋体" w:hAnsi="宋体"/>
                <w:szCs w:val="21"/>
              </w:rPr>
              <w:t>纸浆</w:t>
            </w:r>
          </w:p>
        </w:tc>
        <w:tc>
          <w:tcPr>
            <w:tcW w:w="1134" w:type="dxa"/>
            <w:vAlign w:val="center"/>
          </w:tcPr>
          <w:p w14:paraId="48621F61">
            <w:pPr>
              <w:jc w:val="center"/>
              <w:rPr>
                <w:rFonts w:asciiTheme="minorEastAsia" w:hAnsiTheme="minorEastAsia" w:eastAsiaTheme="minorEastAsia" w:cstheme="minorEastAsia"/>
                <w:szCs w:val="21"/>
              </w:rPr>
            </w:pPr>
            <w:r>
              <w:rPr>
                <w:rFonts w:hint="eastAsia" w:ascii="宋体" w:hAnsi="宋体"/>
                <w:color w:val="000000"/>
                <w:szCs w:val="21"/>
              </w:rPr>
              <w:t>震荡</w:t>
            </w:r>
          </w:p>
        </w:tc>
        <w:tc>
          <w:tcPr>
            <w:tcW w:w="6804" w:type="dxa"/>
            <w:vMerge w:val="restart"/>
            <w:shd w:val="clear" w:color="auto" w:fill="auto"/>
            <w:vAlign w:val="top"/>
          </w:tcPr>
          <w:p w14:paraId="1036C805">
            <w:r>
              <w:rPr>
                <w:rFonts w:hint="eastAsia" w:ascii="宋体" w:hAnsi="宋体"/>
                <w:b/>
                <w:bCs/>
                <w:szCs w:val="21"/>
              </w:rPr>
              <w:t>纸浆</w:t>
            </w:r>
            <w:r>
              <w:rPr>
                <w:rFonts w:hint="eastAsia" w:ascii="宋体" w:hAnsi="宋体"/>
                <w:szCs w:val="21"/>
              </w:rPr>
              <w:t>：</w:t>
            </w:r>
            <w:r>
              <w:rPr>
                <w:rFonts w:hint="eastAsia"/>
              </w:rPr>
              <w:t>上一工作日进口木浆现货市场价格偏稳运行。外盘暂未公布最新报价，呈现较强趋势，对浆价有一定支撑。下游纸品价格偏弱运行，纸厂毛利率整体欠佳，对采浆积极性低，利空浆价。短期来看，下游纸厂需求跟进乏力，但近期有纸厂发布涨价函，心态上对浆价有一定支撑。</w:t>
            </w:r>
          </w:p>
          <w:p w14:paraId="0812CD61">
            <w:pPr>
              <w:rPr>
                <w:rFonts w:asciiTheme="minorEastAsia" w:hAnsiTheme="minorEastAsia"/>
                <w:b/>
                <w:i/>
                <w:iCs/>
                <w:szCs w:val="21"/>
              </w:rPr>
            </w:pPr>
            <w:r>
              <w:rPr>
                <w:rFonts w:hint="eastAsia" w:ascii="宋体" w:hAnsi="宋体"/>
                <w:b/>
                <w:bCs/>
                <w:szCs w:val="21"/>
              </w:rPr>
              <w:t>原木：</w:t>
            </w:r>
            <w:r>
              <w:rPr>
                <w:rFonts w:hint="eastAsia"/>
              </w:rPr>
              <w:t>供给端，2024年10月由新西兰发往中国的原木数量为149.5万方，低于去年同期水平。考虑到一个月的船期，11月原木到港量或环比出现下降。需求端，当前原木港口日均出货量处于历年较低水平，整体呈现下降趋势，叠加地产景气度持续低迷，原木需求偏弱。港口库存已连续五周累库，但整体处于相对低位。原木现货市场价格目前为8</w:t>
            </w:r>
            <w:r>
              <w:t>00</w:t>
            </w:r>
            <w:r>
              <w:rPr>
                <w:rFonts w:hint="eastAsia"/>
              </w:rPr>
              <w:t>元/立方米，处于相对弱势，而C</w:t>
            </w:r>
            <w:r>
              <w:t>FR</w:t>
            </w:r>
            <w:r>
              <w:rPr>
                <w:rFonts w:hint="eastAsia"/>
              </w:rPr>
              <w:t>报价维持在</w:t>
            </w:r>
            <w:r>
              <w:t>124</w:t>
            </w:r>
            <w:r>
              <w:rPr>
                <w:rFonts w:hint="eastAsia"/>
              </w:rPr>
              <w:t>美元/立方米的高位水平。整体来看，</w:t>
            </w:r>
            <w:bookmarkStart w:id="9" w:name="_Hlk182924034"/>
            <w:r>
              <w:rPr>
                <w:rFonts w:hint="eastAsia"/>
              </w:rPr>
              <w:t>原木基本面呈现供需双弱格局。需求主导逻辑下，原木价格或许承压运行为主，但市场利空情绪已反映较为充分，关注成本端的支撑。</w:t>
            </w:r>
            <w:bookmarkEnd w:id="9"/>
          </w:p>
        </w:tc>
      </w:tr>
      <w:tr w14:paraId="67CAA8CF">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179" w:hRule="atLeast"/>
          <w:jc w:val="center"/>
        </w:trPr>
        <w:tc>
          <w:tcPr>
            <w:tcW w:w="631" w:type="dxa"/>
            <w:vMerge w:val="continue"/>
            <w:vAlign w:val="center"/>
          </w:tcPr>
          <w:p w14:paraId="2AAAFE4F">
            <w:pPr>
              <w:jc w:val="center"/>
            </w:pPr>
          </w:p>
        </w:tc>
        <w:tc>
          <w:tcPr>
            <w:tcW w:w="1517" w:type="dxa"/>
            <w:vAlign w:val="center"/>
          </w:tcPr>
          <w:p w14:paraId="18290717">
            <w:pPr>
              <w:jc w:val="center"/>
              <w:rPr>
                <w:rFonts w:hint="eastAsia" w:ascii="宋体" w:hAnsi="宋体"/>
                <w:szCs w:val="21"/>
              </w:rPr>
            </w:pPr>
            <w:r>
              <w:rPr>
                <w:rFonts w:hint="eastAsia" w:ascii="宋体" w:hAnsi="宋体"/>
                <w:szCs w:val="21"/>
              </w:rPr>
              <w:t>原木</w:t>
            </w:r>
          </w:p>
        </w:tc>
        <w:tc>
          <w:tcPr>
            <w:tcW w:w="1134" w:type="dxa"/>
            <w:vAlign w:val="center"/>
          </w:tcPr>
          <w:p w14:paraId="10AE5DBB">
            <w:pPr>
              <w:jc w:val="center"/>
              <w:rPr>
                <w:rFonts w:hint="eastAsia" w:ascii="宋体" w:hAnsi="宋体"/>
                <w:szCs w:val="21"/>
              </w:rPr>
            </w:pPr>
            <w:r>
              <w:rPr>
                <w:rFonts w:hint="eastAsia" w:ascii="宋体" w:hAnsi="宋体"/>
                <w:color w:val="000000"/>
                <w:szCs w:val="21"/>
              </w:rPr>
              <w:t>震荡</w:t>
            </w:r>
          </w:p>
        </w:tc>
        <w:tc>
          <w:tcPr>
            <w:tcW w:w="6804" w:type="dxa"/>
            <w:vMerge w:val="continue"/>
            <w:shd w:val="clear" w:color="auto" w:fill="auto"/>
            <w:vAlign w:val="top"/>
          </w:tcPr>
          <w:p w14:paraId="20679213">
            <w:pPr>
              <w:jc w:val="center"/>
              <w:rPr>
                <w:rFonts w:hint="eastAsia" w:ascii="宋体" w:hAnsi="宋体"/>
                <w:szCs w:val="21"/>
              </w:rPr>
            </w:pPr>
          </w:p>
        </w:tc>
      </w:tr>
      <w:tr w14:paraId="33EF2A07">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986" w:hRule="atLeast"/>
          <w:jc w:val="center"/>
        </w:trPr>
        <w:tc>
          <w:tcPr>
            <w:tcW w:w="631" w:type="dxa"/>
            <w:vMerge w:val="restart"/>
            <w:vAlign w:val="center"/>
          </w:tcPr>
          <w:p w14:paraId="49ECF38A">
            <w:pPr>
              <w:spacing w:line="276" w:lineRule="auto"/>
              <w:rPr>
                <w:rFonts w:asciiTheme="minorEastAsia" w:hAnsiTheme="minorEastAsia"/>
                <w:b/>
                <w:bCs/>
                <w:color w:val="000000"/>
                <w:szCs w:val="21"/>
              </w:rPr>
            </w:pPr>
          </w:p>
          <w:p w14:paraId="160C7C2B">
            <w:pPr>
              <w:spacing w:line="276" w:lineRule="auto"/>
              <w:rPr>
                <w:rFonts w:asciiTheme="minorEastAsia" w:hAnsiTheme="minorEastAsia"/>
                <w:b/>
                <w:bCs/>
                <w:color w:val="000000"/>
                <w:szCs w:val="21"/>
              </w:rPr>
            </w:pPr>
          </w:p>
          <w:p w14:paraId="4F109C4A">
            <w:pPr>
              <w:spacing w:line="276" w:lineRule="auto"/>
              <w:rPr>
                <w:rFonts w:asciiTheme="minorEastAsia" w:hAnsiTheme="minorEastAsia"/>
                <w:b/>
                <w:bCs/>
                <w:color w:val="000000"/>
                <w:szCs w:val="21"/>
              </w:rPr>
            </w:pPr>
          </w:p>
          <w:p w14:paraId="70D1D8DD">
            <w:pPr>
              <w:spacing w:line="276" w:lineRule="auto"/>
              <w:rPr>
                <w:rFonts w:asciiTheme="minorEastAsia" w:hAnsiTheme="minorEastAsia"/>
                <w:b/>
                <w:bCs/>
                <w:color w:val="000000"/>
                <w:szCs w:val="21"/>
              </w:rPr>
            </w:pPr>
          </w:p>
          <w:p w14:paraId="05843B2C">
            <w:pPr>
              <w:spacing w:line="276" w:lineRule="auto"/>
              <w:rPr>
                <w:rFonts w:asciiTheme="minorEastAsia" w:hAnsiTheme="minorEastAsia"/>
                <w:b/>
                <w:bCs/>
                <w:color w:val="000000"/>
                <w:szCs w:val="21"/>
              </w:rPr>
            </w:pPr>
          </w:p>
          <w:p w14:paraId="16E3F4BC">
            <w:pPr>
              <w:spacing w:line="276" w:lineRule="auto"/>
              <w:rPr>
                <w:rFonts w:asciiTheme="minorEastAsia" w:hAnsiTheme="minorEastAsia"/>
                <w:b/>
                <w:bCs/>
                <w:color w:val="000000"/>
                <w:szCs w:val="21"/>
              </w:rPr>
            </w:pPr>
          </w:p>
          <w:p w14:paraId="3803B282">
            <w:pPr>
              <w:spacing w:line="276" w:lineRule="auto"/>
              <w:rPr>
                <w:rFonts w:asciiTheme="minorEastAsia" w:hAnsiTheme="minorEastAsia"/>
                <w:b/>
                <w:bCs/>
                <w:color w:val="000000"/>
                <w:szCs w:val="21"/>
              </w:rPr>
            </w:pPr>
          </w:p>
          <w:p w14:paraId="1CAC4B24">
            <w:pPr>
              <w:spacing w:line="276" w:lineRule="auto"/>
              <w:rPr>
                <w:rFonts w:asciiTheme="minorEastAsia" w:hAnsiTheme="minorEastAsia"/>
                <w:b/>
                <w:bCs/>
                <w:color w:val="000000"/>
                <w:szCs w:val="21"/>
              </w:rPr>
            </w:pPr>
          </w:p>
          <w:p w14:paraId="09F7C4D4">
            <w:pPr>
              <w:spacing w:line="276" w:lineRule="auto"/>
              <w:rPr>
                <w:rFonts w:asciiTheme="minorEastAsia" w:hAnsiTheme="minorEastAsia"/>
                <w:b/>
                <w:bCs/>
                <w:color w:val="000000"/>
                <w:szCs w:val="21"/>
              </w:rPr>
            </w:pPr>
          </w:p>
          <w:p w14:paraId="60F3C85D">
            <w:pPr>
              <w:spacing w:line="276" w:lineRule="auto"/>
              <w:rPr>
                <w:rFonts w:asciiTheme="minorEastAsia" w:hAnsiTheme="minorEastAsia"/>
                <w:b/>
                <w:bCs/>
                <w:color w:val="000000"/>
                <w:szCs w:val="21"/>
              </w:rPr>
            </w:pPr>
          </w:p>
          <w:p w14:paraId="4D060428">
            <w:pPr>
              <w:spacing w:line="276" w:lineRule="auto"/>
              <w:rPr>
                <w:rFonts w:asciiTheme="minorEastAsia" w:hAnsiTheme="minorEastAsia"/>
                <w:b/>
                <w:bCs/>
                <w:color w:val="000000"/>
                <w:szCs w:val="21"/>
              </w:rPr>
            </w:pPr>
          </w:p>
          <w:p w14:paraId="1313D7BF">
            <w:pPr>
              <w:spacing w:line="276" w:lineRule="auto"/>
              <w:rPr>
                <w:rFonts w:asciiTheme="minorEastAsia" w:hAnsiTheme="minorEastAsia"/>
                <w:b/>
                <w:bCs/>
                <w:color w:val="000000"/>
                <w:szCs w:val="21"/>
              </w:rPr>
            </w:pPr>
          </w:p>
          <w:p w14:paraId="3AAD2738">
            <w:pPr>
              <w:spacing w:line="276" w:lineRule="auto"/>
              <w:rPr>
                <w:rFonts w:asciiTheme="minorEastAsia" w:hAnsiTheme="minorEastAsia"/>
                <w:b/>
                <w:bCs/>
                <w:color w:val="000000"/>
                <w:szCs w:val="21"/>
              </w:rPr>
            </w:pPr>
            <w:r>
              <w:rPr>
                <w:rFonts w:hint="eastAsia" w:asciiTheme="minorEastAsia" w:hAnsiTheme="minorEastAsia"/>
                <w:b/>
                <w:bCs/>
                <w:color w:val="000000"/>
                <w:szCs w:val="21"/>
              </w:rPr>
              <w:t>烯烃</w:t>
            </w:r>
          </w:p>
          <w:p w14:paraId="2E09ADFC">
            <w:pPr>
              <w:rPr>
                <w:rFonts w:asciiTheme="minorEastAsia" w:hAnsiTheme="minorEastAsia"/>
                <w:szCs w:val="21"/>
              </w:rPr>
            </w:pPr>
          </w:p>
          <w:p w14:paraId="0EE78551">
            <w:pPr>
              <w:rPr>
                <w:rFonts w:asciiTheme="minorEastAsia" w:hAnsiTheme="minorEastAsia"/>
                <w:szCs w:val="21"/>
              </w:rPr>
            </w:pPr>
          </w:p>
          <w:p w14:paraId="14A8E523">
            <w:pPr>
              <w:rPr>
                <w:rFonts w:asciiTheme="minorEastAsia" w:hAnsiTheme="minorEastAsia"/>
                <w:szCs w:val="21"/>
              </w:rPr>
            </w:pPr>
          </w:p>
        </w:tc>
        <w:tc>
          <w:tcPr>
            <w:tcW w:w="1517" w:type="dxa"/>
            <w:vAlign w:val="center"/>
          </w:tcPr>
          <w:p w14:paraId="0F3567C2">
            <w:pPr>
              <w:jc w:val="center"/>
              <w:rPr>
                <w:rFonts w:ascii="宋体" w:hAnsi="宋体" w:cs="宋体"/>
                <w:szCs w:val="21"/>
              </w:rPr>
            </w:pPr>
            <w:r>
              <w:rPr>
                <w:rFonts w:hint="eastAsia" w:ascii="宋体" w:hAnsi="宋体"/>
                <w:szCs w:val="21"/>
              </w:rPr>
              <w:t>塑料</w:t>
            </w:r>
          </w:p>
        </w:tc>
        <w:tc>
          <w:tcPr>
            <w:tcW w:w="1134" w:type="dxa"/>
            <w:vAlign w:val="center"/>
          </w:tcPr>
          <w:p w14:paraId="0DC343A8">
            <w:pPr>
              <w:jc w:val="center"/>
              <w:rPr>
                <w:rFonts w:hint="eastAsia" w:ascii="宋体" w:hAnsi="宋体"/>
                <w:bCs/>
                <w:szCs w:val="21"/>
              </w:rPr>
            </w:pPr>
            <w:r>
              <w:rPr>
                <w:rFonts w:hint="eastAsia" w:ascii="宋体" w:hAnsi="宋体"/>
                <w:bCs/>
                <w:szCs w:val="21"/>
              </w:rPr>
              <w:t>震荡</w:t>
            </w:r>
          </w:p>
          <w:p w14:paraId="4922A1D4">
            <w:pPr>
              <w:jc w:val="center"/>
              <w:rPr>
                <w:rFonts w:ascii="宋体" w:hAnsi="宋体"/>
                <w:szCs w:val="21"/>
              </w:rPr>
            </w:pPr>
            <w:r>
              <w:rPr>
                <w:rFonts w:hint="eastAsia" w:ascii="宋体" w:hAnsi="宋体"/>
                <w:bCs/>
                <w:szCs w:val="21"/>
                <w:lang w:eastAsia="zh-CN"/>
              </w:rPr>
              <w:t>偏强</w:t>
            </w:r>
          </w:p>
        </w:tc>
        <w:tc>
          <w:tcPr>
            <w:tcW w:w="6804" w:type="dxa"/>
            <w:vMerge w:val="restart"/>
            <w:shd w:val="clear" w:color="auto" w:fill="auto"/>
            <w:vAlign w:val="top"/>
          </w:tcPr>
          <w:p w14:paraId="070D28DB">
            <w:pPr>
              <w:rPr>
                <w:rFonts w:hint="eastAsia" w:ascii="宋体" w:hAnsi="宋体" w:eastAsia="宋体"/>
                <w:bCs/>
                <w:szCs w:val="21"/>
                <w:lang w:eastAsia="zh-CN"/>
              </w:rPr>
            </w:pPr>
            <w:r>
              <w:rPr>
                <w:rFonts w:hint="eastAsia" w:ascii="宋体" w:hAnsi="宋体"/>
                <w:b/>
                <w:szCs w:val="21"/>
              </w:rPr>
              <w:t>塑料</w:t>
            </w:r>
            <w:r>
              <w:rPr>
                <w:rFonts w:hint="eastAsia" w:ascii="宋体" w:hAnsi="宋体"/>
                <w:bCs/>
                <w:szCs w:val="21"/>
              </w:rPr>
              <w:t>：</w:t>
            </w:r>
            <w:r>
              <w:rPr>
                <w:rFonts w:hint="eastAsia" w:ascii="宋体" w:hAnsi="宋体"/>
                <w:bCs/>
                <w:szCs w:val="21"/>
                <w:lang w:val="en-US" w:eastAsia="zh-CN"/>
              </w:rPr>
              <w:t>11</w:t>
            </w:r>
            <w:r>
              <w:rPr>
                <w:rFonts w:hint="eastAsia" w:ascii="宋体" w:hAnsi="宋体"/>
                <w:bCs/>
                <w:szCs w:val="21"/>
              </w:rPr>
              <w:t>月</w:t>
            </w:r>
            <w:r>
              <w:rPr>
                <w:rFonts w:hint="eastAsia" w:ascii="宋体" w:hAnsi="宋体"/>
                <w:bCs/>
                <w:szCs w:val="21"/>
                <w:lang w:val="en-US" w:eastAsia="zh-CN"/>
              </w:rPr>
              <w:t>20</w:t>
            </w:r>
            <w:r>
              <w:rPr>
                <w:rFonts w:hint="eastAsia" w:ascii="宋体" w:hAnsi="宋体"/>
                <w:bCs/>
                <w:szCs w:val="21"/>
              </w:rPr>
              <w:t>日华北现货价格8</w:t>
            </w:r>
            <w:r>
              <w:rPr>
                <w:rFonts w:hint="eastAsia" w:ascii="宋体" w:hAnsi="宋体"/>
                <w:bCs/>
                <w:szCs w:val="21"/>
                <w:lang w:val="en-US" w:eastAsia="zh-CN"/>
              </w:rPr>
              <w:t>60</w:t>
            </w:r>
            <w:r>
              <w:rPr>
                <w:rFonts w:hint="eastAsia" w:ascii="宋体" w:hAnsi="宋体"/>
                <w:bCs/>
                <w:szCs w:val="21"/>
              </w:rPr>
              <w:t>0-8</w:t>
            </w:r>
            <w:r>
              <w:rPr>
                <w:rFonts w:hint="eastAsia" w:ascii="宋体" w:hAnsi="宋体"/>
                <w:bCs/>
                <w:szCs w:val="21"/>
                <w:lang w:val="en-US" w:eastAsia="zh-CN"/>
              </w:rPr>
              <w:t>650</w:t>
            </w:r>
            <w:r>
              <w:rPr>
                <w:rFonts w:hint="eastAsia" w:ascii="宋体" w:hAnsi="宋体"/>
                <w:bCs/>
                <w:szCs w:val="21"/>
              </w:rPr>
              <w:t>，价格</w:t>
            </w:r>
            <w:r>
              <w:rPr>
                <w:rFonts w:hint="eastAsia" w:ascii="宋体" w:hAnsi="宋体"/>
                <w:bCs/>
                <w:szCs w:val="21"/>
                <w:lang w:eastAsia="zh-CN"/>
              </w:rPr>
              <w:t>上涨</w:t>
            </w:r>
            <w:r>
              <w:rPr>
                <w:rFonts w:hint="eastAsia" w:ascii="宋体" w:hAnsi="宋体"/>
                <w:bCs/>
                <w:szCs w:val="21"/>
              </w:rPr>
              <w:t>。基差</w:t>
            </w:r>
            <w:r>
              <w:rPr>
                <w:rFonts w:hint="eastAsia" w:ascii="宋体" w:hAnsi="宋体"/>
                <w:bCs/>
                <w:szCs w:val="21"/>
                <w:lang w:val="en-US" w:eastAsia="zh-CN"/>
              </w:rPr>
              <w:t>15</w:t>
            </w:r>
            <w:r>
              <w:rPr>
                <w:rFonts w:hint="eastAsia" w:ascii="宋体" w:hAnsi="宋体"/>
                <w:bCs/>
                <w:szCs w:val="21"/>
              </w:rPr>
              <w:t>0-</w:t>
            </w:r>
            <w:r>
              <w:rPr>
                <w:rFonts w:hint="eastAsia" w:ascii="宋体" w:hAnsi="宋体"/>
                <w:bCs/>
                <w:szCs w:val="21"/>
                <w:lang w:val="en-US" w:eastAsia="zh-CN"/>
              </w:rPr>
              <w:t>25</w:t>
            </w:r>
            <w:r>
              <w:rPr>
                <w:rFonts w:hint="eastAsia" w:ascii="宋体" w:hAnsi="宋体"/>
                <w:bCs/>
                <w:szCs w:val="21"/>
              </w:rPr>
              <w:t>0之间，基差</w:t>
            </w:r>
            <w:r>
              <w:rPr>
                <w:rFonts w:hint="eastAsia" w:ascii="宋体" w:hAnsi="宋体"/>
                <w:bCs/>
                <w:szCs w:val="21"/>
                <w:lang w:eastAsia="zh-CN"/>
              </w:rPr>
              <w:t>走弱</w:t>
            </w:r>
            <w:r>
              <w:rPr>
                <w:rFonts w:hint="eastAsia" w:ascii="宋体" w:hAnsi="宋体"/>
                <w:bCs/>
                <w:szCs w:val="21"/>
              </w:rPr>
              <w:t>。</w:t>
            </w:r>
            <w:r>
              <w:rPr>
                <w:rFonts w:hint="eastAsia" w:ascii="宋体" w:hAnsi="宋体"/>
                <w:bCs/>
                <w:szCs w:val="21"/>
                <w:lang w:eastAsia="zh-CN"/>
              </w:rPr>
              <w:t>刚需成交</w:t>
            </w:r>
            <w:r>
              <w:rPr>
                <w:rFonts w:hint="eastAsia" w:ascii="宋体" w:hAnsi="宋体"/>
                <w:bCs/>
                <w:szCs w:val="21"/>
              </w:rPr>
              <w:t>。卓创PE检修</w:t>
            </w:r>
            <w:r>
              <w:rPr>
                <w:rFonts w:hint="eastAsia" w:ascii="宋体" w:hAnsi="宋体"/>
                <w:bCs/>
                <w:szCs w:val="21"/>
                <w:lang w:val="en-US" w:eastAsia="zh-CN"/>
              </w:rPr>
              <w:t>13.72</w:t>
            </w:r>
            <w:r>
              <w:rPr>
                <w:rFonts w:hint="eastAsia" w:ascii="宋体" w:hAnsi="宋体"/>
                <w:bCs/>
                <w:szCs w:val="21"/>
              </w:rPr>
              <w:t>%（</w:t>
            </w:r>
            <w:r>
              <w:rPr>
                <w:rFonts w:hint="eastAsia" w:ascii="宋体" w:hAnsi="宋体"/>
                <w:bCs/>
                <w:szCs w:val="21"/>
                <w:lang w:val="en-US" w:eastAsia="zh-CN"/>
              </w:rPr>
              <w:t>-2.08</w:t>
            </w:r>
            <w:r>
              <w:rPr>
                <w:rFonts w:hint="eastAsia" w:ascii="宋体" w:hAnsi="宋体"/>
                <w:bCs/>
                <w:szCs w:val="21"/>
              </w:rPr>
              <w:t>）。石化库存</w:t>
            </w:r>
            <w:r>
              <w:rPr>
                <w:rFonts w:hint="eastAsia" w:ascii="宋体" w:hAnsi="宋体"/>
                <w:bCs/>
                <w:szCs w:val="21"/>
                <w:lang w:val="en-US" w:eastAsia="zh-CN"/>
              </w:rPr>
              <w:t>66</w:t>
            </w:r>
            <w:r>
              <w:rPr>
                <w:rFonts w:hint="eastAsia" w:ascii="宋体" w:hAnsi="宋体"/>
                <w:bCs/>
                <w:szCs w:val="21"/>
              </w:rPr>
              <w:t>（</w:t>
            </w:r>
            <w:r>
              <w:rPr>
                <w:rFonts w:hint="eastAsia" w:ascii="宋体" w:hAnsi="宋体"/>
                <w:bCs/>
                <w:szCs w:val="21"/>
                <w:lang w:val="en-US" w:eastAsia="zh-CN"/>
              </w:rPr>
              <w:t>-2.5</w:t>
            </w:r>
            <w:r>
              <w:rPr>
                <w:rFonts w:hint="eastAsia" w:ascii="宋体" w:hAnsi="宋体"/>
                <w:bCs/>
                <w:szCs w:val="21"/>
              </w:rPr>
              <w:t>）,线性CFR中国960（0），美金市场持稳。成本端：原油价格</w:t>
            </w:r>
            <w:r>
              <w:rPr>
                <w:rFonts w:hint="eastAsia" w:ascii="宋体" w:hAnsi="宋体"/>
                <w:bCs/>
                <w:szCs w:val="21"/>
                <w:lang w:eastAsia="zh-CN"/>
              </w:rPr>
              <w:t>小幅上跌</w:t>
            </w:r>
            <w:r>
              <w:rPr>
                <w:rFonts w:hint="eastAsia" w:ascii="宋体" w:hAnsi="宋体"/>
                <w:bCs/>
                <w:szCs w:val="21"/>
              </w:rPr>
              <w:t>，乙烯单体价格持稳，煤炭价格持稳。逻辑：</w:t>
            </w:r>
            <w:r>
              <w:rPr>
                <w:rFonts w:hint="eastAsia" w:ascii="宋体" w:hAnsi="宋体"/>
                <w:bCs/>
                <w:szCs w:val="21"/>
                <w:lang w:eastAsia="zh-CN"/>
              </w:rPr>
              <w:t>海外油田供应恢复原油价格小幅走弱</w:t>
            </w:r>
            <w:r>
              <w:rPr>
                <w:rFonts w:hint="eastAsia" w:ascii="宋体" w:hAnsi="宋体"/>
                <w:bCs/>
                <w:szCs w:val="21"/>
              </w:rPr>
              <w:t xml:space="preserve">。 </w:t>
            </w:r>
            <w:r>
              <w:rPr>
                <w:rFonts w:hint="eastAsia" w:ascii="宋体" w:hAnsi="宋体"/>
                <w:bCs/>
                <w:szCs w:val="21"/>
                <w:lang w:eastAsia="zh-CN"/>
              </w:rPr>
              <w:t>宏观端政策小作文较多，市场情绪偏多。</w:t>
            </w:r>
            <w:r>
              <w:rPr>
                <w:rFonts w:hint="eastAsia" w:ascii="宋体" w:hAnsi="宋体"/>
                <w:bCs/>
                <w:szCs w:val="21"/>
              </w:rPr>
              <w:t>供应端</w:t>
            </w:r>
            <w:r>
              <w:rPr>
                <w:rFonts w:hint="eastAsia" w:ascii="宋体" w:hAnsi="宋体"/>
                <w:bCs/>
                <w:szCs w:val="21"/>
                <w:lang w:eastAsia="zh-CN"/>
              </w:rPr>
              <w:t>检修增加，天津装置技术原因停车，</w:t>
            </w:r>
            <w:r>
              <w:rPr>
                <w:rFonts w:hint="eastAsia" w:ascii="宋体" w:hAnsi="宋体"/>
                <w:bCs/>
                <w:szCs w:val="21"/>
              </w:rPr>
              <w:t>目前到港</w:t>
            </w:r>
            <w:r>
              <w:rPr>
                <w:rFonts w:hint="eastAsia" w:ascii="宋体" w:hAnsi="宋体"/>
                <w:bCs/>
                <w:szCs w:val="21"/>
                <w:lang w:eastAsia="zh-CN"/>
              </w:rPr>
              <w:t>减少</w:t>
            </w:r>
            <w:r>
              <w:rPr>
                <w:rFonts w:hint="eastAsia" w:ascii="宋体" w:hAnsi="宋体"/>
                <w:bCs/>
                <w:szCs w:val="21"/>
              </w:rPr>
              <w:t>，</w:t>
            </w:r>
            <w:r>
              <w:rPr>
                <w:rFonts w:hint="eastAsia" w:ascii="宋体" w:hAnsi="宋体"/>
                <w:bCs/>
                <w:szCs w:val="21"/>
                <w:lang w:eastAsia="zh-CN"/>
              </w:rPr>
              <w:t>西本新装置仍有问题</w:t>
            </w:r>
            <w:r>
              <w:rPr>
                <w:rFonts w:hint="eastAsia" w:ascii="宋体" w:hAnsi="宋体"/>
                <w:bCs/>
                <w:szCs w:val="21"/>
              </w:rPr>
              <w:t>，</w:t>
            </w:r>
            <w:r>
              <w:rPr>
                <w:rFonts w:hint="eastAsia" w:ascii="宋体" w:hAnsi="宋体"/>
                <w:bCs/>
                <w:szCs w:val="21"/>
                <w:lang w:eastAsia="zh-CN"/>
              </w:rPr>
              <w:t>供应端短期难有增量，</w:t>
            </w:r>
            <w:r>
              <w:rPr>
                <w:rFonts w:hint="eastAsia" w:ascii="宋体" w:hAnsi="宋体"/>
                <w:bCs/>
                <w:szCs w:val="21"/>
              </w:rPr>
              <w:t>下游仍在旺季，</w:t>
            </w:r>
            <w:r>
              <w:rPr>
                <w:rFonts w:hint="eastAsia" w:ascii="宋体" w:hAnsi="宋体"/>
                <w:bCs/>
                <w:szCs w:val="21"/>
                <w:lang w:eastAsia="zh-CN"/>
              </w:rPr>
              <w:t>仍能维持，</w:t>
            </w:r>
            <w:r>
              <w:rPr>
                <w:rFonts w:hint="eastAsia" w:ascii="宋体" w:hAnsi="宋体"/>
                <w:bCs/>
                <w:szCs w:val="21"/>
              </w:rPr>
              <w:t>现货相对坚挺，现货基差较大，盘面贴水，</w:t>
            </w:r>
            <w:r>
              <w:rPr>
                <w:rFonts w:hint="eastAsia" w:ascii="宋体" w:hAnsi="宋体"/>
                <w:bCs/>
                <w:szCs w:val="21"/>
                <w:lang w:eastAsia="zh-CN"/>
              </w:rPr>
              <w:t>华北价格偏强</w:t>
            </w:r>
            <w:r>
              <w:rPr>
                <w:rFonts w:hint="eastAsia" w:ascii="宋体" w:hAnsi="宋体"/>
                <w:bCs/>
                <w:szCs w:val="21"/>
              </w:rPr>
              <w:t>，</w:t>
            </w:r>
            <w:r>
              <w:rPr>
                <w:rFonts w:hint="eastAsia" w:ascii="宋体" w:hAnsi="宋体"/>
                <w:bCs/>
                <w:szCs w:val="21"/>
                <w:lang w:eastAsia="zh-CN"/>
              </w:rPr>
              <w:t>对盘面有利多。预计</w:t>
            </w:r>
            <w:r>
              <w:rPr>
                <w:rFonts w:hint="eastAsia" w:ascii="宋体" w:hAnsi="宋体"/>
                <w:bCs/>
                <w:szCs w:val="21"/>
                <w:lang w:val="en-US" w:eastAsia="zh-CN"/>
              </w:rPr>
              <w:t>12月</w:t>
            </w:r>
            <w:r>
              <w:rPr>
                <w:rFonts w:hint="eastAsia" w:ascii="宋体" w:hAnsi="宋体"/>
                <w:bCs/>
                <w:szCs w:val="21"/>
                <w:lang w:eastAsia="zh-CN"/>
              </w:rPr>
              <w:t>供应增加，下游农膜需求开始转弱</w:t>
            </w:r>
            <w:r>
              <w:rPr>
                <w:rFonts w:hint="eastAsia" w:ascii="宋体" w:hAnsi="宋体"/>
                <w:bCs/>
                <w:szCs w:val="21"/>
              </w:rPr>
              <w:t>，</w:t>
            </w:r>
            <w:r>
              <w:rPr>
                <w:rFonts w:hint="eastAsia" w:ascii="宋体" w:hAnsi="宋体"/>
                <w:bCs/>
                <w:szCs w:val="21"/>
                <w:lang w:eastAsia="zh-CN"/>
              </w:rPr>
              <w:t>长线压力仍大</w:t>
            </w:r>
            <w:r>
              <w:rPr>
                <w:rFonts w:hint="eastAsia" w:ascii="宋体" w:hAnsi="宋体"/>
                <w:bCs/>
                <w:szCs w:val="21"/>
              </w:rPr>
              <w:t>，</w:t>
            </w:r>
            <w:r>
              <w:rPr>
                <w:rFonts w:hint="eastAsia" w:ascii="宋体" w:hAnsi="宋体"/>
                <w:bCs/>
                <w:szCs w:val="21"/>
                <w:lang w:eastAsia="zh-CN"/>
              </w:rPr>
              <w:t>成本端原油价格小幅走弱，宏观有情绪偏多，现货价格坚挺维持，</w:t>
            </w:r>
            <w:r>
              <w:rPr>
                <w:rFonts w:hint="eastAsia" w:ascii="宋体" w:hAnsi="宋体"/>
                <w:bCs/>
                <w:szCs w:val="21"/>
              </w:rPr>
              <w:t>今日预计PE价格震荡</w:t>
            </w:r>
            <w:r>
              <w:rPr>
                <w:rFonts w:hint="eastAsia" w:ascii="宋体" w:hAnsi="宋体"/>
                <w:bCs/>
                <w:szCs w:val="21"/>
                <w:lang w:eastAsia="zh-CN"/>
              </w:rPr>
              <w:t>偏强</w:t>
            </w:r>
            <w:r>
              <w:rPr>
                <w:rFonts w:hint="eastAsia" w:ascii="宋体" w:hAnsi="宋体"/>
                <w:bCs/>
                <w:szCs w:val="21"/>
              </w:rPr>
              <w:t>运行，长线驱动偏空，</w:t>
            </w:r>
            <w:r>
              <w:rPr>
                <w:rFonts w:hint="eastAsia" w:ascii="宋体" w:hAnsi="宋体"/>
                <w:bCs/>
                <w:szCs w:val="21"/>
                <w:lang w:eastAsia="zh-CN"/>
              </w:rPr>
              <w:t>关注</w:t>
            </w:r>
            <w:r>
              <w:rPr>
                <w:rFonts w:hint="eastAsia" w:ascii="宋体" w:hAnsi="宋体"/>
                <w:bCs/>
                <w:szCs w:val="21"/>
                <w:lang w:val="en-US" w:eastAsia="zh-CN"/>
              </w:rPr>
              <w:t>05合约，</w:t>
            </w:r>
            <w:r>
              <w:rPr>
                <w:rFonts w:hint="eastAsia" w:ascii="宋体" w:hAnsi="宋体"/>
                <w:bCs/>
                <w:szCs w:val="21"/>
              </w:rPr>
              <w:t>注意</w:t>
            </w:r>
            <w:r>
              <w:rPr>
                <w:rFonts w:hint="eastAsia" w:ascii="宋体" w:hAnsi="宋体"/>
                <w:bCs/>
                <w:szCs w:val="21"/>
                <w:lang w:eastAsia="zh-CN"/>
              </w:rPr>
              <w:t>高位压力。</w:t>
            </w:r>
          </w:p>
          <w:p w14:paraId="06E92D3D">
            <w:pPr>
              <w:rPr>
                <w:rFonts w:hint="eastAsia" w:ascii="宋体" w:hAnsi="宋体"/>
                <w:bCs/>
                <w:szCs w:val="21"/>
              </w:rPr>
            </w:pPr>
            <w:r>
              <w:rPr>
                <w:rFonts w:hint="eastAsia" w:ascii="宋体" w:hAnsi="宋体"/>
                <w:b/>
                <w:szCs w:val="21"/>
              </w:rPr>
              <w:t>PP:</w:t>
            </w:r>
            <w:r>
              <w:rPr>
                <w:rFonts w:hint="eastAsia"/>
                <w:bCs/>
              </w:rPr>
              <w:t xml:space="preserve"> </w:t>
            </w:r>
            <w:r>
              <w:rPr>
                <w:rFonts w:hint="eastAsia" w:ascii="宋体" w:hAnsi="宋体"/>
                <w:bCs/>
                <w:szCs w:val="21"/>
              </w:rPr>
              <w:t>11月</w:t>
            </w:r>
            <w:r>
              <w:rPr>
                <w:rFonts w:hint="eastAsia" w:ascii="宋体" w:hAnsi="宋体"/>
                <w:bCs/>
                <w:szCs w:val="21"/>
                <w:lang w:val="en-US" w:eastAsia="zh-CN"/>
              </w:rPr>
              <w:t>20</w:t>
            </w:r>
            <w:r>
              <w:rPr>
                <w:rFonts w:hint="eastAsia" w:ascii="宋体" w:hAnsi="宋体"/>
                <w:bCs/>
                <w:szCs w:val="21"/>
              </w:rPr>
              <w:t>日华东现货价格74</w:t>
            </w:r>
            <w:r>
              <w:rPr>
                <w:rFonts w:hint="eastAsia" w:ascii="宋体" w:hAnsi="宋体"/>
                <w:bCs/>
                <w:szCs w:val="21"/>
                <w:lang w:val="en-US" w:eastAsia="zh-CN"/>
              </w:rPr>
              <w:t>8</w:t>
            </w:r>
            <w:r>
              <w:rPr>
                <w:rFonts w:hint="eastAsia" w:ascii="宋体" w:hAnsi="宋体"/>
                <w:bCs/>
                <w:szCs w:val="21"/>
              </w:rPr>
              <w:t>0-75</w:t>
            </w:r>
            <w:r>
              <w:rPr>
                <w:rFonts w:hint="eastAsia" w:ascii="宋体" w:hAnsi="宋体"/>
                <w:bCs/>
                <w:szCs w:val="21"/>
                <w:lang w:val="en-US" w:eastAsia="zh-CN"/>
              </w:rPr>
              <w:t>7</w:t>
            </w:r>
            <w:r>
              <w:rPr>
                <w:rFonts w:hint="eastAsia" w:ascii="宋体" w:hAnsi="宋体"/>
                <w:bCs/>
                <w:szCs w:val="21"/>
              </w:rPr>
              <w:t>0，价格</w:t>
            </w:r>
            <w:r>
              <w:rPr>
                <w:rFonts w:hint="eastAsia" w:ascii="宋体" w:hAnsi="宋体"/>
                <w:bCs/>
                <w:szCs w:val="21"/>
                <w:lang w:eastAsia="zh-CN"/>
              </w:rPr>
              <w:t>小幅上涨</w:t>
            </w:r>
            <w:r>
              <w:rPr>
                <w:rFonts w:hint="eastAsia" w:ascii="宋体" w:hAnsi="宋体"/>
                <w:bCs/>
                <w:szCs w:val="21"/>
              </w:rPr>
              <w:t>。基差</w:t>
            </w:r>
            <w:r>
              <w:rPr>
                <w:rFonts w:hint="eastAsia" w:ascii="宋体" w:hAnsi="宋体"/>
                <w:bCs/>
                <w:szCs w:val="21"/>
                <w:lang w:val="en-US" w:eastAsia="zh-CN"/>
              </w:rPr>
              <w:t>-4</w:t>
            </w:r>
            <w:r>
              <w:rPr>
                <w:rFonts w:hint="eastAsia" w:ascii="宋体" w:hAnsi="宋体"/>
                <w:bCs/>
                <w:szCs w:val="21"/>
              </w:rPr>
              <w:t>0-</w:t>
            </w:r>
            <w:r>
              <w:rPr>
                <w:rFonts w:hint="eastAsia" w:ascii="宋体" w:hAnsi="宋体"/>
                <w:bCs/>
                <w:szCs w:val="21"/>
                <w:lang w:val="en-US" w:eastAsia="zh-CN"/>
              </w:rPr>
              <w:t>5</w:t>
            </w:r>
            <w:r>
              <w:rPr>
                <w:rFonts w:hint="eastAsia" w:ascii="宋体" w:hAnsi="宋体"/>
                <w:bCs/>
                <w:szCs w:val="21"/>
              </w:rPr>
              <w:t>0之间，基差</w:t>
            </w:r>
            <w:r>
              <w:rPr>
                <w:rFonts w:hint="eastAsia" w:ascii="宋体" w:hAnsi="宋体"/>
                <w:bCs/>
                <w:szCs w:val="21"/>
                <w:lang w:eastAsia="zh-CN"/>
              </w:rPr>
              <w:t>小幅走弱，</w:t>
            </w:r>
            <w:r>
              <w:rPr>
                <w:rFonts w:hint="eastAsia" w:ascii="宋体" w:hAnsi="宋体"/>
                <w:bCs/>
                <w:szCs w:val="21"/>
                <w:lang w:val="en-US" w:eastAsia="zh-CN"/>
              </w:rPr>
              <w:t>17.82</w:t>
            </w:r>
            <w:r>
              <w:rPr>
                <w:rFonts w:hint="eastAsia" w:ascii="宋体" w:hAnsi="宋体"/>
                <w:bCs/>
                <w:szCs w:val="21"/>
              </w:rPr>
              <w:t>%（</w:t>
            </w:r>
            <w:r>
              <w:rPr>
                <w:rFonts w:hint="eastAsia" w:ascii="宋体" w:hAnsi="宋体"/>
                <w:bCs/>
                <w:szCs w:val="21"/>
                <w:lang w:val="en-US" w:eastAsia="zh-CN"/>
              </w:rPr>
              <w:t>-0.47</w:t>
            </w:r>
            <w:r>
              <w:rPr>
                <w:rFonts w:hint="eastAsia" w:ascii="宋体" w:hAnsi="宋体"/>
                <w:bCs/>
                <w:szCs w:val="21"/>
              </w:rPr>
              <w:t>）。石化库存</w:t>
            </w:r>
            <w:r>
              <w:rPr>
                <w:rFonts w:hint="eastAsia" w:ascii="宋体" w:hAnsi="宋体"/>
                <w:bCs/>
                <w:szCs w:val="21"/>
                <w:lang w:val="en-US" w:eastAsia="zh-CN"/>
              </w:rPr>
              <w:t>66</w:t>
            </w:r>
            <w:r>
              <w:rPr>
                <w:rFonts w:hint="eastAsia" w:ascii="宋体" w:hAnsi="宋体"/>
                <w:bCs/>
                <w:szCs w:val="21"/>
              </w:rPr>
              <w:t>（</w:t>
            </w:r>
            <w:r>
              <w:rPr>
                <w:rFonts w:hint="eastAsia" w:ascii="宋体" w:hAnsi="宋体"/>
                <w:bCs/>
                <w:szCs w:val="21"/>
                <w:lang w:val="en-US" w:eastAsia="zh-CN"/>
              </w:rPr>
              <w:t>-2.5</w:t>
            </w:r>
            <w:r>
              <w:rPr>
                <w:rFonts w:hint="eastAsia" w:ascii="宋体" w:hAnsi="宋体"/>
                <w:bCs/>
                <w:szCs w:val="21"/>
              </w:rPr>
              <w:t>），拉丝CFR中国900（0），美金市场成交有限。成本端：原油价格</w:t>
            </w:r>
            <w:r>
              <w:rPr>
                <w:rFonts w:hint="eastAsia" w:ascii="宋体" w:hAnsi="宋体"/>
                <w:bCs/>
                <w:szCs w:val="21"/>
                <w:lang w:eastAsia="zh-CN"/>
              </w:rPr>
              <w:t>小跌</w:t>
            </w:r>
            <w:r>
              <w:rPr>
                <w:rFonts w:hint="eastAsia" w:ascii="宋体" w:hAnsi="宋体"/>
                <w:bCs/>
                <w:szCs w:val="21"/>
              </w:rPr>
              <w:t>，甲醇价格</w:t>
            </w:r>
            <w:r>
              <w:rPr>
                <w:rFonts w:hint="eastAsia" w:ascii="宋体" w:hAnsi="宋体"/>
                <w:bCs/>
                <w:szCs w:val="21"/>
                <w:lang w:eastAsia="zh-CN"/>
              </w:rPr>
              <w:t>上涨</w:t>
            </w:r>
            <w:r>
              <w:rPr>
                <w:rFonts w:hint="eastAsia" w:ascii="宋体" w:hAnsi="宋体"/>
                <w:bCs/>
                <w:szCs w:val="21"/>
              </w:rPr>
              <w:t>，丙烷价格</w:t>
            </w:r>
            <w:r>
              <w:rPr>
                <w:rFonts w:hint="eastAsia" w:ascii="宋体" w:hAnsi="宋体"/>
                <w:bCs/>
                <w:szCs w:val="21"/>
                <w:lang w:eastAsia="zh-CN"/>
              </w:rPr>
              <w:t>小涨</w:t>
            </w:r>
            <w:r>
              <w:rPr>
                <w:rFonts w:hint="eastAsia" w:ascii="宋体" w:hAnsi="宋体"/>
                <w:bCs/>
                <w:szCs w:val="21"/>
              </w:rPr>
              <w:t>，华北丙烯价格</w:t>
            </w:r>
            <w:r>
              <w:rPr>
                <w:rFonts w:hint="eastAsia" w:ascii="宋体" w:hAnsi="宋体"/>
                <w:bCs/>
                <w:szCs w:val="21"/>
                <w:lang w:eastAsia="zh-CN"/>
              </w:rPr>
              <w:t>上涨</w:t>
            </w:r>
            <w:r>
              <w:rPr>
                <w:rFonts w:hint="eastAsia" w:ascii="宋体" w:hAnsi="宋体"/>
                <w:bCs/>
                <w:szCs w:val="21"/>
              </w:rPr>
              <w:t>，煤炭价格持稳。逻辑：海外油田供应恢复原油价格小幅走弱。 宏观端政策小作文较多，市场情绪偏多。供应端检修</w:t>
            </w:r>
            <w:r>
              <w:rPr>
                <w:rFonts w:hint="eastAsia" w:ascii="宋体" w:hAnsi="宋体"/>
                <w:bCs/>
                <w:szCs w:val="21"/>
                <w:lang w:eastAsia="zh-CN"/>
              </w:rPr>
              <w:t>较多</w:t>
            </w:r>
            <w:r>
              <w:rPr>
                <w:rFonts w:hint="eastAsia" w:ascii="宋体" w:hAnsi="宋体"/>
                <w:bCs/>
                <w:szCs w:val="21"/>
              </w:rPr>
              <w:t>，新装置投产，供应压力</w:t>
            </w:r>
            <w:r>
              <w:rPr>
                <w:rFonts w:hint="eastAsia" w:ascii="宋体" w:hAnsi="宋体"/>
                <w:bCs/>
                <w:szCs w:val="21"/>
                <w:lang w:eastAsia="zh-CN"/>
              </w:rPr>
              <w:t>短期不大</w:t>
            </w:r>
            <w:r>
              <w:rPr>
                <w:rFonts w:hint="eastAsia" w:ascii="宋体" w:hAnsi="宋体"/>
                <w:bCs/>
                <w:szCs w:val="21"/>
              </w:rPr>
              <w:t>。</w:t>
            </w:r>
            <w:r>
              <w:rPr>
                <w:rFonts w:hint="eastAsia" w:ascii="宋体" w:hAnsi="宋体"/>
                <w:bCs/>
                <w:szCs w:val="21"/>
                <w:lang w:val="en-US" w:eastAsia="zh-CN"/>
              </w:rPr>
              <w:t xml:space="preserve">  </w:t>
            </w:r>
            <w:r>
              <w:rPr>
                <w:rFonts w:hint="eastAsia" w:ascii="宋体" w:hAnsi="宋体"/>
                <w:bCs/>
                <w:szCs w:val="21"/>
                <w:lang w:eastAsia="zh-CN"/>
              </w:rPr>
              <w:t>宏观情绪偏多，现货端基差走弱，压力增加，跟随塑料上涨，</w:t>
            </w:r>
            <w:r>
              <w:rPr>
                <w:rFonts w:hint="eastAsia" w:ascii="宋体" w:hAnsi="宋体"/>
                <w:bCs/>
                <w:szCs w:val="21"/>
              </w:rPr>
              <w:t>预计今日 PP价格震荡</w:t>
            </w:r>
            <w:r>
              <w:rPr>
                <w:rFonts w:hint="eastAsia" w:ascii="宋体" w:hAnsi="宋体"/>
                <w:bCs/>
                <w:szCs w:val="21"/>
                <w:lang w:eastAsia="zh-CN"/>
              </w:rPr>
              <w:t>偏强</w:t>
            </w:r>
            <w:r>
              <w:rPr>
                <w:rFonts w:hint="eastAsia" w:ascii="宋体" w:hAnsi="宋体"/>
                <w:bCs/>
                <w:szCs w:val="21"/>
              </w:rPr>
              <w:t>运行，长线驱动偏空，注意高位风险。</w:t>
            </w:r>
          </w:p>
          <w:p w14:paraId="2AAA1AD5">
            <w:pPr>
              <w:rPr>
                <w:rFonts w:ascii="宋体" w:hAnsi="宋体"/>
                <w:bCs/>
                <w:szCs w:val="21"/>
              </w:rPr>
            </w:pPr>
            <w:r>
              <w:rPr>
                <w:rFonts w:hint="eastAsia" w:ascii="宋体" w:hAnsi="宋体"/>
                <w:b/>
                <w:szCs w:val="21"/>
              </w:rPr>
              <w:t>PVC</w:t>
            </w:r>
            <w:r>
              <w:rPr>
                <w:rFonts w:hint="eastAsia" w:ascii="宋体" w:hAnsi="宋体"/>
                <w:bCs/>
                <w:szCs w:val="21"/>
              </w:rPr>
              <w:t>：11月</w:t>
            </w:r>
            <w:r>
              <w:rPr>
                <w:rFonts w:hint="eastAsia" w:ascii="宋体" w:hAnsi="宋体"/>
                <w:bCs/>
                <w:szCs w:val="21"/>
                <w:lang w:val="en-US" w:eastAsia="zh-CN"/>
              </w:rPr>
              <w:t>20</w:t>
            </w:r>
            <w:r>
              <w:rPr>
                <w:rFonts w:hint="eastAsia" w:ascii="宋体" w:hAnsi="宋体"/>
                <w:bCs/>
                <w:szCs w:val="21"/>
              </w:rPr>
              <w:t>日华东现货价格5</w:t>
            </w:r>
            <w:r>
              <w:rPr>
                <w:rFonts w:hint="eastAsia" w:ascii="宋体" w:hAnsi="宋体"/>
                <w:bCs/>
                <w:szCs w:val="21"/>
                <w:lang w:val="en-US" w:eastAsia="zh-CN"/>
              </w:rPr>
              <w:t>16</w:t>
            </w:r>
            <w:r>
              <w:rPr>
                <w:rFonts w:hint="eastAsia" w:ascii="宋体" w:hAnsi="宋体"/>
                <w:bCs/>
                <w:szCs w:val="21"/>
              </w:rPr>
              <w:t>0-</w:t>
            </w:r>
            <w:r>
              <w:rPr>
                <w:rFonts w:hint="eastAsia" w:ascii="宋体" w:hAnsi="宋体"/>
                <w:bCs/>
                <w:szCs w:val="21"/>
                <w:lang w:val="en-US" w:eastAsia="zh-CN"/>
              </w:rPr>
              <w:t>5250</w:t>
            </w:r>
            <w:r>
              <w:rPr>
                <w:rFonts w:hint="eastAsia" w:ascii="宋体" w:hAnsi="宋体"/>
                <w:bCs/>
                <w:szCs w:val="21"/>
              </w:rPr>
              <w:t>，价格</w:t>
            </w:r>
            <w:r>
              <w:rPr>
                <w:rFonts w:hint="eastAsia" w:ascii="宋体" w:hAnsi="宋体"/>
                <w:bCs/>
                <w:szCs w:val="21"/>
                <w:lang w:eastAsia="zh-CN"/>
              </w:rPr>
              <w:t>小幅上涨</w:t>
            </w:r>
            <w:r>
              <w:rPr>
                <w:rFonts w:hint="eastAsia" w:ascii="宋体" w:hAnsi="宋体"/>
                <w:bCs/>
                <w:szCs w:val="21"/>
              </w:rPr>
              <w:t>。主流基差-</w:t>
            </w:r>
            <w:r>
              <w:rPr>
                <w:rFonts w:hint="eastAsia" w:ascii="宋体" w:hAnsi="宋体"/>
                <w:bCs/>
                <w:szCs w:val="21"/>
                <w:lang w:val="en-US" w:eastAsia="zh-CN"/>
              </w:rPr>
              <w:t>20</w:t>
            </w:r>
            <w:r>
              <w:rPr>
                <w:rFonts w:hint="eastAsia" w:ascii="宋体" w:hAnsi="宋体"/>
                <w:bCs/>
                <w:szCs w:val="21"/>
              </w:rPr>
              <w:t>0- -50之间，基差</w:t>
            </w:r>
            <w:r>
              <w:rPr>
                <w:rFonts w:hint="eastAsia" w:ascii="宋体" w:hAnsi="宋体"/>
                <w:bCs/>
                <w:szCs w:val="21"/>
                <w:lang w:eastAsia="zh-CN"/>
              </w:rPr>
              <w:t>持稳</w:t>
            </w:r>
            <w:r>
              <w:rPr>
                <w:rFonts w:hint="eastAsia" w:ascii="宋体" w:hAnsi="宋体"/>
                <w:bCs/>
                <w:szCs w:val="21"/>
              </w:rPr>
              <w:t>，成交一般。周度(11.15)下游样本企业开工负荷环比持平，同比减少1.34%，其中软制品开工环比持平，同比减少5.74%，硬制品开工环比持平，同比减少1.84%。原料库存天数环比增加0.47天，同比增加4.26天。成品库存天数环比持平，同比增加4.08天。订单天数环比增加0.06天，同比减少0.90天。本周华东、华南、华北地区开工基本维持，整体开工同比差距仍存，变动不大。周度(11.19)上游库存环比去库，库存天数环比减少0.05天，绝对量环比减少2.35%，华东在库库存环比去库0.10万吨。周度(11.15)社会库存环比小幅累库，样本库存48.02万吨，环比增加0.24万吨，其中华东库存42.67万吨，环比增加0.19万吨，华南库存5.35万吨，环比增加0.05万吨。逻辑：成本端电石价格持稳。开工仍维持高位。</w:t>
            </w:r>
            <w:r>
              <w:rPr>
                <w:rFonts w:hint="eastAsia" w:ascii="宋体" w:hAnsi="宋体"/>
                <w:bCs/>
                <w:szCs w:val="21"/>
                <w:lang w:eastAsia="zh-CN"/>
              </w:rPr>
              <w:t>出口询盘有所增加，关注出口成交。</w:t>
            </w:r>
            <w:r>
              <w:rPr>
                <w:rFonts w:hint="eastAsia" w:ascii="宋体" w:hAnsi="宋体"/>
                <w:bCs/>
                <w:szCs w:val="21"/>
              </w:rPr>
              <w:t>下游地产仍偏弱，下游开工一般，</w:t>
            </w:r>
            <w:r>
              <w:rPr>
                <w:rFonts w:hint="eastAsia" w:ascii="宋体" w:hAnsi="宋体"/>
                <w:bCs/>
                <w:szCs w:val="21"/>
                <w:lang w:eastAsia="zh-CN"/>
              </w:rPr>
              <w:t>本周社会库存累积，现货压力大，价格偏弱，</w:t>
            </w:r>
            <w:r>
              <w:rPr>
                <w:rFonts w:hint="eastAsia" w:ascii="宋体" w:hAnsi="宋体"/>
                <w:bCs/>
                <w:szCs w:val="21"/>
              </w:rPr>
              <w:t xml:space="preserve">V基本面压力大，今日预计PVC震荡运行 。 </w:t>
            </w:r>
          </w:p>
        </w:tc>
      </w:tr>
      <w:tr w14:paraId="365842CA">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2011" w:hRule="atLeast"/>
          <w:jc w:val="center"/>
        </w:trPr>
        <w:tc>
          <w:tcPr>
            <w:tcW w:w="631" w:type="dxa"/>
            <w:vMerge w:val="continue"/>
            <w:vAlign w:val="center"/>
          </w:tcPr>
          <w:p w14:paraId="5541DAB4">
            <w:pPr>
              <w:spacing w:line="276" w:lineRule="auto"/>
              <w:rPr>
                <w:rFonts w:asciiTheme="minorEastAsia" w:hAnsiTheme="minorEastAsia"/>
                <w:color w:val="000000"/>
                <w:szCs w:val="21"/>
              </w:rPr>
            </w:pPr>
          </w:p>
        </w:tc>
        <w:tc>
          <w:tcPr>
            <w:tcW w:w="1517" w:type="dxa"/>
            <w:vAlign w:val="center"/>
          </w:tcPr>
          <w:p w14:paraId="7A376759">
            <w:pPr>
              <w:jc w:val="center"/>
              <w:rPr>
                <w:rFonts w:ascii="宋体" w:hAnsi="宋体" w:cs="宋体"/>
                <w:szCs w:val="21"/>
              </w:rPr>
            </w:pPr>
            <w:r>
              <w:rPr>
                <w:rFonts w:hint="eastAsia" w:ascii="宋体" w:hAnsi="宋体"/>
                <w:szCs w:val="21"/>
              </w:rPr>
              <w:t>PP</w:t>
            </w:r>
          </w:p>
        </w:tc>
        <w:tc>
          <w:tcPr>
            <w:tcW w:w="1134" w:type="dxa"/>
            <w:vAlign w:val="center"/>
          </w:tcPr>
          <w:p w14:paraId="05B74817">
            <w:pPr>
              <w:jc w:val="center"/>
              <w:rPr>
                <w:rFonts w:hint="eastAsia" w:ascii="宋体" w:hAnsi="宋体"/>
                <w:bCs/>
                <w:szCs w:val="21"/>
              </w:rPr>
            </w:pPr>
            <w:r>
              <w:rPr>
                <w:rFonts w:hint="eastAsia" w:ascii="宋体" w:hAnsi="宋体"/>
                <w:bCs/>
                <w:szCs w:val="21"/>
              </w:rPr>
              <w:t xml:space="preserve"> </w:t>
            </w:r>
          </w:p>
          <w:p w14:paraId="49B48D6F">
            <w:pPr>
              <w:jc w:val="center"/>
              <w:rPr>
                <w:rFonts w:hint="eastAsia" w:ascii="宋体" w:hAnsi="宋体"/>
                <w:bCs/>
                <w:szCs w:val="21"/>
              </w:rPr>
            </w:pPr>
            <w:r>
              <w:rPr>
                <w:rFonts w:hint="eastAsia" w:ascii="宋体" w:hAnsi="宋体"/>
                <w:bCs/>
                <w:szCs w:val="21"/>
              </w:rPr>
              <w:t>震荡</w:t>
            </w:r>
          </w:p>
          <w:p w14:paraId="02969101">
            <w:pPr>
              <w:jc w:val="center"/>
              <w:rPr>
                <w:rFonts w:ascii="宋体" w:hAnsi="宋体"/>
                <w:szCs w:val="21"/>
              </w:rPr>
            </w:pPr>
            <w:r>
              <w:rPr>
                <w:rFonts w:hint="eastAsia" w:ascii="宋体" w:hAnsi="宋体"/>
                <w:bCs/>
                <w:szCs w:val="21"/>
                <w:lang w:eastAsia="zh-CN"/>
              </w:rPr>
              <w:t>偏强</w:t>
            </w:r>
          </w:p>
        </w:tc>
        <w:tc>
          <w:tcPr>
            <w:tcW w:w="6804" w:type="dxa"/>
            <w:vMerge w:val="continue"/>
            <w:shd w:val="clear" w:color="auto" w:fill="auto"/>
            <w:vAlign w:val="top"/>
          </w:tcPr>
          <w:p w14:paraId="7FA8F3D2">
            <w:pPr>
              <w:rPr>
                <w:rFonts w:ascii="Calibri" w:hAnsi="Calibri"/>
                <w:b/>
                <w:bCs/>
              </w:rPr>
            </w:pPr>
          </w:p>
        </w:tc>
      </w:tr>
      <w:tr w14:paraId="47B0D4BC">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316" w:hRule="atLeast"/>
          <w:jc w:val="center"/>
        </w:trPr>
        <w:tc>
          <w:tcPr>
            <w:tcW w:w="631" w:type="dxa"/>
            <w:vMerge w:val="continue"/>
            <w:vAlign w:val="center"/>
          </w:tcPr>
          <w:p w14:paraId="0D17CA8A">
            <w:pPr>
              <w:spacing w:line="276" w:lineRule="auto"/>
              <w:rPr>
                <w:rFonts w:asciiTheme="minorEastAsia" w:hAnsiTheme="minorEastAsia"/>
                <w:color w:val="000000"/>
                <w:szCs w:val="21"/>
              </w:rPr>
            </w:pPr>
          </w:p>
        </w:tc>
        <w:tc>
          <w:tcPr>
            <w:tcW w:w="1517" w:type="dxa"/>
            <w:vAlign w:val="center"/>
          </w:tcPr>
          <w:p w14:paraId="2B998BFF">
            <w:pPr>
              <w:jc w:val="center"/>
              <w:rPr>
                <w:rFonts w:ascii="宋体" w:hAnsi="宋体" w:cs="宋体"/>
                <w:szCs w:val="21"/>
              </w:rPr>
            </w:pPr>
            <w:r>
              <w:rPr>
                <w:rFonts w:hint="eastAsia" w:ascii="宋体" w:hAnsi="宋体"/>
                <w:szCs w:val="21"/>
              </w:rPr>
              <w:t>PVC</w:t>
            </w:r>
          </w:p>
        </w:tc>
        <w:tc>
          <w:tcPr>
            <w:tcW w:w="1134" w:type="dxa"/>
            <w:vAlign w:val="center"/>
          </w:tcPr>
          <w:p w14:paraId="2DD30144">
            <w:pPr>
              <w:jc w:val="center"/>
              <w:rPr>
                <w:rFonts w:hint="eastAsia" w:ascii="宋体" w:hAnsi="宋体"/>
                <w:bCs/>
                <w:szCs w:val="21"/>
              </w:rPr>
            </w:pPr>
            <w:r>
              <w:rPr>
                <w:rFonts w:hint="eastAsia" w:ascii="宋体" w:hAnsi="宋体"/>
                <w:bCs/>
                <w:szCs w:val="21"/>
              </w:rPr>
              <w:t>震荡</w:t>
            </w:r>
          </w:p>
          <w:p w14:paraId="5564819C">
            <w:pPr>
              <w:jc w:val="center"/>
              <w:rPr>
                <w:rFonts w:ascii="宋体" w:hAnsi="宋体"/>
                <w:szCs w:val="21"/>
              </w:rPr>
            </w:pPr>
          </w:p>
        </w:tc>
        <w:tc>
          <w:tcPr>
            <w:tcW w:w="6804" w:type="dxa"/>
            <w:vMerge w:val="continue"/>
            <w:shd w:val="clear" w:color="auto" w:fill="auto"/>
            <w:vAlign w:val="top"/>
          </w:tcPr>
          <w:p w14:paraId="639D3B9A">
            <w:pPr>
              <w:rPr>
                <w:rFonts w:ascii="Calibri" w:hAnsi="Calibri"/>
                <w:b/>
                <w:bCs/>
              </w:rPr>
            </w:pPr>
          </w:p>
        </w:tc>
      </w:tr>
      <w:bookmarkEnd w:id="1"/>
      <w:bookmarkEnd w:id="2"/>
      <w:bookmarkEnd w:id="3"/>
      <w:tr w14:paraId="12AAA326">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568" w:hRule="atLeast"/>
          <w:jc w:val="center"/>
        </w:trPr>
        <w:tc>
          <w:tcPr>
            <w:tcW w:w="631" w:type="dxa"/>
            <w:vMerge w:val="restart"/>
          </w:tcPr>
          <w:p w14:paraId="732C22BA">
            <w:pPr>
              <w:rPr>
                <w:rFonts w:ascii="宋体" w:hAnsi="宋体"/>
                <w:b/>
                <w:sz w:val="24"/>
                <w:szCs w:val="21"/>
              </w:rPr>
            </w:pPr>
          </w:p>
          <w:p w14:paraId="2A905B73">
            <w:pPr>
              <w:rPr>
                <w:rFonts w:ascii="宋体" w:hAnsi="宋体"/>
                <w:b/>
                <w:sz w:val="24"/>
                <w:szCs w:val="21"/>
              </w:rPr>
            </w:pPr>
          </w:p>
          <w:p w14:paraId="0C718FD6">
            <w:pPr>
              <w:rPr>
                <w:rFonts w:ascii="宋体" w:hAnsi="宋体"/>
                <w:b/>
                <w:sz w:val="24"/>
                <w:szCs w:val="21"/>
              </w:rPr>
            </w:pPr>
          </w:p>
          <w:p w14:paraId="2603BC7E">
            <w:pPr>
              <w:rPr>
                <w:rFonts w:ascii="宋体" w:hAnsi="宋体"/>
                <w:b/>
                <w:sz w:val="24"/>
                <w:szCs w:val="21"/>
              </w:rPr>
            </w:pPr>
          </w:p>
          <w:p w14:paraId="097E04DE">
            <w:pPr>
              <w:rPr>
                <w:rFonts w:ascii="宋体" w:hAnsi="宋体"/>
                <w:b/>
                <w:sz w:val="24"/>
                <w:szCs w:val="21"/>
              </w:rPr>
            </w:pPr>
          </w:p>
          <w:p w14:paraId="5639D2A4">
            <w:pPr>
              <w:rPr>
                <w:rFonts w:ascii="宋体" w:hAnsi="宋体"/>
                <w:b/>
                <w:sz w:val="24"/>
                <w:szCs w:val="21"/>
              </w:rPr>
            </w:pPr>
          </w:p>
          <w:p w14:paraId="3EB5AB7A">
            <w:pPr>
              <w:rPr>
                <w:rFonts w:ascii="宋体" w:hAnsi="宋体"/>
                <w:b/>
                <w:sz w:val="24"/>
                <w:szCs w:val="21"/>
              </w:rPr>
            </w:pPr>
          </w:p>
          <w:p w14:paraId="173EB000">
            <w:pPr>
              <w:rPr>
                <w:rFonts w:ascii="宋体" w:hAnsi="宋体"/>
                <w:b/>
                <w:sz w:val="24"/>
                <w:szCs w:val="21"/>
              </w:rPr>
            </w:pPr>
            <w:r>
              <w:rPr>
                <w:rFonts w:hint="eastAsia" w:ascii="宋体" w:hAnsi="宋体"/>
                <w:b/>
                <w:sz w:val="24"/>
                <w:szCs w:val="21"/>
              </w:rPr>
              <w:t>农产品</w:t>
            </w:r>
          </w:p>
        </w:tc>
        <w:tc>
          <w:tcPr>
            <w:tcW w:w="1517" w:type="dxa"/>
            <w:vAlign w:val="center"/>
          </w:tcPr>
          <w:p w14:paraId="6C6317B5">
            <w:pPr>
              <w:jc w:val="center"/>
              <w:rPr>
                <w:rFonts w:ascii="宋体" w:hAnsi="宋体"/>
                <w:szCs w:val="21"/>
              </w:rPr>
            </w:pPr>
            <w:r>
              <w:rPr>
                <w:rFonts w:hint="eastAsia" w:ascii="宋体" w:hAnsi="宋体"/>
                <w:szCs w:val="21"/>
              </w:rPr>
              <w:t>生猪</w:t>
            </w:r>
          </w:p>
        </w:tc>
        <w:tc>
          <w:tcPr>
            <w:tcW w:w="1134" w:type="dxa"/>
            <w:vAlign w:val="center"/>
          </w:tcPr>
          <w:p w14:paraId="22A2A897">
            <w:pPr>
              <w:jc w:val="center"/>
              <w:rPr>
                <w:rFonts w:ascii="宋体" w:hAnsi="宋体"/>
                <w:i/>
                <w:iCs/>
                <w:color w:val="000000"/>
                <w:szCs w:val="21"/>
              </w:rPr>
            </w:pPr>
            <w:r>
              <w:rPr>
                <w:rFonts w:hint="eastAsia" w:ascii="宋体" w:hAnsi="宋体"/>
                <w:color w:val="000000"/>
                <w:szCs w:val="21"/>
              </w:rPr>
              <w:t>震荡</w:t>
            </w:r>
            <w:r>
              <w:rPr>
                <w:rFonts w:hint="eastAsia" w:ascii="宋体" w:hAnsi="宋体"/>
                <w:color w:val="000000"/>
                <w:szCs w:val="21"/>
                <w:lang w:val="en-US" w:eastAsia="zh-CN"/>
              </w:rPr>
              <w:t>偏弱</w:t>
            </w:r>
          </w:p>
        </w:tc>
        <w:tc>
          <w:tcPr>
            <w:tcW w:w="6804" w:type="dxa"/>
            <w:vMerge w:val="restart"/>
            <w:vAlign w:val="top"/>
          </w:tcPr>
          <w:p w14:paraId="775BDBDD">
            <w:pPr>
              <w:tabs>
                <w:tab w:val="left" w:pos="7088"/>
              </w:tabs>
              <w:adjustRightInd w:val="0"/>
              <w:snapToGrid w:val="0"/>
              <w:spacing w:line="276" w:lineRule="auto"/>
              <w:jc w:val="left"/>
              <w:rPr>
                <w:rFonts w:hint="eastAsia" w:eastAsia="宋体" w:asciiTheme="minorEastAsia" w:hAnsiTheme="minorEastAsia"/>
                <w:szCs w:val="21"/>
                <w:lang w:eastAsia="zh-CN"/>
              </w:rPr>
            </w:pPr>
            <w:r>
              <w:rPr>
                <w:rFonts w:hint="eastAsia" w:asciiTheme="minorEastAsia" w:hAnsiTheme="minorEastAsia"/>
                <w:b/>
                <w:bCs/>
                <w:szCs w:val="21"/>
              </w:rPr>
              <w:t>生猪</w:t>
            </w:r>
            <w:r>
              <w:rPr>
                <w:rFonts w:hint="eastAsia" w:asciiTheme="minorEastAsia" w:hAnsiTheme="minorEastAsia"/>
                <w:szCs w:val="21"/>
              </w:rPr>
              <w:t>：</w:t>
            </w:r>
            <w:r>
              <w:rPr>
                <w:rFonts w:hint="eastAsia" w:asciiTheme="minorEastAsia" w:hAnsiTheme="minorEastAsia"/>
                <w:szCs w:val="21"/>
                <w:lang w:val="en-US" w:eastAsia="zh-CN"/>
              </w:rPr>
              <w:t>虽然</w:t>
            </w:r>
            <w:r>
              <w:rPr>
                <w:rFonts w:hint="eastAsia" w:asciiTheme="minorEastAsia" w:hAnsiTheme="minorEastAsia"/>
                <w:szCs w:val="21"/>
              </w:rPr>
              <w:t>当前生猪产能端回升带来了价格的回落，但是结合本年度偏低的饲料成本，目前养户仍有利可图。从当前的补栏情况来看，养殖端补栏进度依旧偏慢，预计当下的产能格局仍将维持一段时间，未来的猪价或也将处于成本线上给到一定利润的区间之中。</w:t>
            </w:r>
          </w:p>
          <w:p w14:paraId="316892C5">
            <w:pPr>
              <w:tabs>
                <w:tab w:val="left" w:pos="7088"/>
              </w:tabs>
              <w:adjustRightInd w:val="0"/>
              <w:snapToGrid w:val="0"/>
              <w:spacing w:line="276" w:lineRule="auto"/>
              <w:jc w:val="left"/>
              <w:rPr>
                <w:rFonts w:hint="eastAsia" w:asciiTheme="minorEastAsia" w:hAnsiTheme="minorEastAsia"/>
                <w:szCs w:val="21"/>
              </w:rPr>
            </w:pPr>
            <w:r>
              <w:rPr>
                <w:rFonts w:hint="eastAsia" w:asciiTheme="minorEastAsia" w:hAnsiTheme="minorEastAsia"/>
                <w:b/>
                <w:bCs/>
                <w:szCs w:val="21"/>
              </w:rPr>
              <w:t>苹果</w:t>
            </w:r>
            <w:r>
              <w:rPr>
                <w:rFonts w:hint="eastAsia" w:asciiTheme="minorEastAsia" w:hAnsiTheme="minorEastAsia"/>
                <w:szCs w:val="21"/>
              </w:rPr>
              <w:t>：新季苹果出货速度放缓，产地主流价格基本维持稳定。山东产区以少量小果及统货交易为主，好货成交量有限。</w:t>
            </w:r>
            <w:r>
              <w:rPr>
                <w:rFonts w:hint="eastAsia" w:asciiTheme="minorEastAsia" w:hAnsiTheme="minorEastAsia"/>
                <w:szCs w:val="21"/>
                <w:lang w:val="en-US" w:eastAsia="zh-CN"/>
              </w:rPr>
              <w:t>3</w:t>
            </w:r>
            <w:r>
              <w:rPr>
                <w:rFonts w:hint="eastAsia" w:asciiTheme="minorEastAsia" w:hAnsiTheme="minorEastAsia"/>
                <w:szCs w:val="21"/>
              </w:rPr>
              <w:t>西北产区冷库交易热度略有下滑，客商采购积极性不及前期，果农带有一定惜售情绪。市场到货略有减少，受柑橘等水果影响，整体出货速度放缓。</w:t>
            </w:r>
          </w:p>
          <w:p w14:paraId="21528DA4">
            <w:pPr>
              <w:tabs>
                <w:tab w:val="left" w:pos="7088"/>
              </w:tabs>
              <w:adjustRightInd w:val="0"/>
              <w:snapToGrid w:val="0"/>
              <w:spacing w:line="276" w:lineRule="auto"/>
              <w:jc w:val="left"/>
              <w:rPr>
                <w:rFonts w:hint="eastAsia" w:eastAsia="宋体" w:asciiTheme="minorEastAsia" w:hAnsiTheme="minorEastAsia"/>
                <w:szCs w:val="21"/>
                <w:lang w:eastAsia="zh-CN"/>
              </w:rPr>
            </w:pPr>
            <w:r>
              <w:rPr>
                <w:rFonts w:hint="eastAsia" w:asciiTheme="minorEastAsia" w:hAnsiTheme="minorEastAsia"/>
                <w:b/>
                <w:bCs/>
                <w:szCs w:val="21"/>
              </w:rPr>
              <w:t>玉米</w:t>
            </w:r>
            <w:r>
              <w:rPr>
                <w:rFonts w:hint="eastAsia" w:asciiTheme="minorEastAsia" w:hAnsiTheme="minorEastAsia"/>
                <w:szCs w:val="21"/>
              </w:rPr>
              <w:t>：新作受天气影响，有减产预期，年度供应预计小幅下滑</w:t>
            </w:r>
            <w:r>
              <w:rPr>
                <w:rFonts w:hint="eastAsia" w:asciiTheme="minorEastAsia" w:hAnsiTheme="minorEastAsia"/>
                <w:szCs w:val="21"/>
                <w:lang w:eastAsia="zh-CN"/>
              </w:rPr>
              <w:t>。</w:t>
            </w:r>
            <w:r>
              <w:rPr>
                <w:rFonts w:hint="eastAsia" w:asciiTheme="minorEastAsia" w:hAnsiTheme="minorEastAsia"/>
                <w:szCs w:val="21"/>
              </w:rPr>
              <w:t>新作陆续上市，市场供应充裕，市场售粮进度偏快</w:t>
            </w:r>
            <w:r>
              <w:rPr>
                <w:rFonts w:hint="eastAsia" w:asciiTheme="minorEastAsia" w:hAnsiTheme="minorEastAsia"/>
                <w:szCs w:val="21"/>
                <w:lang w:eastAsia="zh-CN"/>
              </w:rPr>
              <w:t>。</w:t>
            </w:r>
            <w:r>
              <w:rPr>
                <w:rFonts w:hint="eastAsia" w:asciiTheme="minorEastAsia" w:hAnsiTheme="minorEastAsia"/>
                <w:szCs w:val="21"/>
              </w:rPr>
              <w:t>年内小麦及稻谷替代下滑</w:t>
            </w:r>
            <w:r>
              <w:rPr>
                <w:rFonts w:hint="eastAsia" w:asciiTheme="minorEastAsia" w:hAnsiTheme="minorEastAsia"/>
                <w:szCs w:val="21"/>
                <w:lang w:eastAsia="zh-CN"/>
              </w:rPr>
              <w:t>。</w:t>
            </w:r>
            <w:r>
              <w:rPr>
                <w:rFonts w:hint="eastAsia" w:asciiTheme="minorEastAsia" w:hAnsiTheme="minorEastAsia"/>
                <w:szCs w:val="21"/>
              </w:rPr>
              <w:t>谷物进口下降，支撑销区玉米需求</w:t>
            </w:r>
            <w:r>
              <w:rPr>
                <w:rFonts w:hint="eastAsia" w:asciiTheme="minorEastAsia" w:hAnsiTheme="minorEastAsia"/>
                <w:szCs w:val="21"/>
                <w:lang w:eastAsia="zh-CN"/>
              </w:rPr>
              <w:t>。</w:t>
            </w:r>
            <w:r>
              <w:rPr>
                <w:rFonts w:hint="eastAsia" w:asciiTheme="minorEastAsia" w:hAnsiTheme="minorEastAsia"/>
                <w:szCs w:val="21"/>
              </w:rPr>
              <w:t>南北港流通好转，北方港口库存持续上升。猪价利润尚可，利好饲料消费</w:t>
            </w:r>
            <w:r>
              <w:rPr>
                <w:rFonts w:hint="eastAsia" w:asciiTheme="minorEastAsia" w:hAnsiTheme="minorEastAsia"/>
                <w:szCs w:val="21"/>
                <w:lang w:eastAsia="zh-CN"/>
              </w:rPr>
              <w:t>。</w:t>
            </w:r>
            <w:r>
              <w:rPr>
                <w:rFonts w:hint="eastAsia" w:asciiTheme="minorEastAsia" w:hAnsiTheme="minorEastAsia"/>
                <w:szCs w:val="21"/>
              </w:rPr>
              <w:t>现货供需宽松，但替代及进口在4季度都将明显转弱，叠加今年减产，整体来看，市场环境对玉米价格有支撑。</w:t>
            </w:r>
          </w:p>
          <w:p w14:paraId="430D4A05">
            <w:pPr>
              <w:tabs>
                <w:tab w:val="left" w:pos="7088"/>
              </w:tabs>
              <w:adjustRightInd w:val="0"/>
              <w:snapToGrid w:val="0"/>
              <w:spacing w:line="276" w:lineRule="auto"/>
              <w:jc w:val="left"/>
              <w:rPr>
                <w:rFonts w:asciiTheme="minorEastAsia" w:hAnsiTheme="minorEastAsia"/>
                <w:i/>
                <w:iCs/>
                <w:szCs w:val="21"/>
              </w:rPr>
            </w:pPr>
            <w:r>
              <w:rPr>
                <w:rFonts w:hint="eastAsia" w:asciiTheme="minorEastAsia" w:hAnsiTheme="minorEastAsia"/>
                <w:b/>
                <w:bCs/>
                <w:szCs w:val="21"/>
              </w:rPr>
              <w:t>鸡蛋：</w:t>
            </w:r>
            <w:r>
              <w:rPr>
                <w:rFonts w:hint="eastAsia" w:asciiTheme="minorEastAsia" w:hAnsiTheme="minorEastAsia"/>
                <w:b w:val="0"/>
                <w:bCs w:val="0"/>
                <w:szCs w:val="21"/>
              </w:rPr>
              <w:t>需求阶段性高峰已过，供应呈小增趋势，现货驱动往下，但暂无大跌风险，盘面估值不高，远月处深度贴水状态，一方面未来供应仍呈增多趋势，且老鸡延淘利空现货，另一方面成本端仍有反复，且远期贴水已部分兑现了前期的悲观预期，季节性看未来边际利空增多，后期留意反弹后抛空机会，暂不推荐追空</w:t>
            </w:r>
            <w:r>
              <w:rPr>
                <w:rFonts w:hint="eastAsia" w:asciiTheme="minorEastAsia" w:hAnsiTheme="minorEastAsia"/>
                <w:b w:val="0"/>
                <w:bCs w:val="0"/>
                <w:szCs w:val="21"/>
                <w:lang w:eastAsia="zh-CN"/>
              </w:rPr>
              <w:t>。</w:t>
            </w:r>
          </w:p>
        </w:tc>
      </w:tr>
      <w:tr w14:paraId="672E14BC">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362" w:hRule="atLeast"/>
          <w:jc w:val="center"/>
        </w:trPr>
        <w:tc>
          <w:tcPr>
            <w:tcW w:w="631" w:type="dxa"/>
            <w:vMerge w:val="continue"/>
          </w:tcPr>
          <w:p w14:paraId="72E01CFD">
            <w:pPr>
              <w:rPr>
                <w:rFonts w:ascii="宋体" w:hAnsi="宋体"/>
                <w:b/>
                <w:sz w:val="24"/>
                <w:szCs w:val="21"/>
              </w:rPr>
            </w:pPr>
          </w:p>
        </w:tc>
        <w:tc>
          <w:tcPr>
            <w:tcW w:w="1517" w:type="dxa"/>
            <w:vAlign w:val="center"/>
          </w:tcPr>
          <w:p w14:paraId="2FA025EE">
            <w:pPr>
              <w:jc w:val="center"/>
            </w:pPr>
            <w:r>
              <w:rPr>
                <w:rFonts w:hint="eastAsia" w:ascii="宋体" w:hAnsi="宋体"/>
                <w:szCs w:val="21"/>
              </w:rPr>
              <w:t>苹果</w:t>
            </w:r>
          </w:p>
        </w:tc>
        <w:tc>
          <w:tcPr>
            <w:tcW w:w="1134" w:type="dxa"/>
            <w:vAlign w:val="center"/>
          </w:tcPr>
          <w:p w14:paraId="26ED62A5">
            <w:pPr>
              <w:jc w:val="center"/>
              <w:rPr>
                <w:i/>
                <w:iCs/>
              </w:rPr>
            </w:pPr>
            <w:r>
              <w:rPr>
                <w:rFonts w:hint="eastAsia" w:ascii="宋体" w:hAnsi="宋体"/>
                <w:color w:val="000000"/>
                <w:szCs w:val="21"/>
              </w:rPr>
              <w:t>震荡偏</w:t>
            </w:r>
            <w:r>
              <w:rPr>
                <w:rFonts w:hint="eastAsia" w:ascii="宋体" w:hAnsi="宋体"/>
                <w:color w:val="000000"/>
                <w:szCs w:val="21"/>
                <w:lang w:val="en-US" w:eastAsia="zh-CN"/>
              </w:rPr>
              <w:t>强</w:t>
            </w:r>
          </w:p>
        </w:tc>
        <w:tc>
          <w:tcPr>
            <w:tcW w:w="6804" w:type="dxa"/>
            <w:vMerge w:val="continue"/>
            <w:vAlign w:val="top"/>
          </w:tcPr>
          <w:p w14:paraId="10D5F113">
            <w:pPr>
              <w:rPr>
                <w:rFonts w:ascii="宋体" w:hAnsi="宋体"/>
                <w:i/>
                <w:iCs/>
                <w:sz w:val="18"/>
                <w:szCs w:val="18"/>
              </w:rPr>
            </w:pPr>
          </w:p>
        </w:tc>
      </w:tr>
      <w:tr w14:paraId="4601E7D5">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1172" w:hRule="atLeast"/>
          <w:jc w:val="center"/>
        </w:trPr>
        <w:tc>
          <w:tcPr>
            <w:tcW w:w="631" w:type="dxa"/>
            <w:vMerge w:val="continue"/>
          </w:tcPr>
          <w:p w14:paraId="00812C45">
            <w:pPr>
              <w:rPr>
                <w:rFonts w:ascii="宋体" w:hAnsi="宋体"/>
                <w:b/>
                <w:sz w:val="24"/>
                <w:szCs w:val="21"/>
              </w:rPr>
            </w:pPr>
          </w:p>
        </w:tc>
        <w:tc>
          <w:tcPr>
            <w:tcW w:w="1517" w:type="dxa"/>
            <w:vAlign w:val="center"/>
          </w:tcPr>
          <w:p w14:paraId="0C633669">
            <w:pPr>
              <w:jc w:val="center"/>
            </w:pPr>
            <w:r>
              <w:rPr>
                <w:rFonts w:hint="eastAsia" w:ascii="宋体" w:hAnsi="宋体"/>
                <w:szCs w:val="21"/>
              </w:rPr>
              <w:t>玉米</w:t>
            </w:r>
          </w:p>
        </w:tc>
        <w:tc>
          <w:tcPr>
            <w:tcW w:w="1134" w:type="dxa"/>
            <w:vAlign w:val="center"/>
          </w:tcPr>
          <w:p w14:paraId="24F83677">
            <w:pPr>
              <w:jc w:val="center"/>
              <w:rPr>
                <w:i/>
                <w:iCs/>
              </w:rPr>
            </w:pPr>
            <w:r>
              <w:rPr>
                <w:rFonts w:hint="eastAsia" w:ascii="宋体" w:hAnsi="宋体"/>
                <w:color w:val="000000"/>
                <w:szCs w:val="21"/>
              </w:rPr>
              <w:t>震荡</w:t>
            </w:r>
            <w:r>
              <w:rPr>
                <w:rFonts w:hint="eastAsia" w:ascii="宋体" w:hAnsi="宋体"/>
                <w:color w:val="000000"/>
                <w:szCs w:val="21"/>
                <w:lang w:val="en-US" w:eastAsia="zh-CN"/>
              </w:rPr>
              <w:t>偏强</w:t>
            </w:r>
          </w:p>
        </w:tc>
        <w:tc>
          <w:tcPr>
            <w:tcW w:w="6804" w:type="dxa"/>
            <w:vMerge w:val="continue"/>
            <w:vAlign w:val="top"/>
          </w:tcPr>
          <w:p w14:paraId="35D14EE0">
            <w:pPr>
              <w:rPr>
                <w:rFonts w:ascii="宋体" w:hAnsi="宋体"/>
                <w:i/>
                <w:iCs/>
                <w:sz w:val="18"/>
                <w:szCs w:val="18"/>
              </w:rPr>
            </w:pPr>
          </w:p>
        </w:tc>
      </w:tr>
      <w:tr w14:paraId="54829D79">
        <w:tblPrEx>
          <w:tblBorders>
            <w:top w:val="single" w:color="FF0000" w:sz="12" w:space="0"/>
            <w:left w:val="none" w:color="auto" w:sz="0" w:space="0"/>
            <w:bottom w:val="single" w:color="FF0000" w:sz="12" w:space="0"/>
            <w:right w:val="none" w:color="auto" w:sz="0" w:space="0"/>
            <w:insideH w:val="dashed" w:color="FF0000" w:sz="4" w:space="0"/>
            <w:insideV w:val="dashed" w:color="FF0000" w:sz="4" w:space="0"/>
          </w:tblBorders>
          <w:tblCellMar>
            <w:top w:w="0" w:type="dxa"/>
            <w:left w:w="108" w:type="dxa"/>
            <w:bottom w:w="0" w:type="dxa"/>
            <w:right w:w="108" w:type="dxa"/>
          </w:tblCellMar>
        </w:tblPrEx>
        <w:trPr>
          <w:trHeight w:val="793" w:hRule="atLeast"/>
          <w:jc w:val="center"/>
        </w:trPr>
        <w:tc>
          <w:tcPr>
            <w:tcW w:w="631" w:type="dxa"/>
            <w:vMerge w:val="continue"/>
          </w:tcPr>
          <w:p w14:paraId="1150B3A6">
            <w:pPr>
              <w:rPr>
                <w:rFonts w:ascii="宋体" w:hAnsi="宋体"/>
                <w:b/>
                <w:sz w:val="24"/>
                <w:szCs w:val="21"/>
              </w:rPr>
            </w:pPr>
          </w:p>
        </w:tc>
        <w:tc>
          <w:tcPr>
            <w:tcW w:w="1517" w:type="dxa"/>
            <w:vAlign w:val="center"/>
          </w:tcPr>
          <w:p w14:paraId="0CB26500">
            <w:pPr>
              <w:jc w:val="center"/>
            </w:pPr>
            <w:r>
              <w:rPr>
                <w:rFonts w:hint="eastAsia" w:ascii="宋体" w:hAnsi="宋体"/>
                <w:szCs w:val="21"/>
              </w:rPr>
              <w:t>鸡蛋</w:t>
            </w:r>
          </w:p>
        </w:tc>
        <w:tc>
          <w:tcPr>
            <w:tcW w:w="1134" w:type="dxa"/>
            <w:vAlign w:val="center"/>
          </w:tcPr>
          <w:p w14:paraId="5CEB88E4">
            <w:pPr>
              <w:jc w:val="center"/>
              <w:rPr>
                <w:i/>
                <w:iCs/>
              </w:rPr>
            </w:pPr>
            <w:r>
              <w:rPr>
                <w:rFonts w:hint="eastAsia" w:ascii="宋体" w:hAnsi="宋体"/>
                <w:color w:val="000000"/>
                <w:szCs w:val="21"/>
              </w:rPr>
              <w:t>震荡</w:t>
            </w:r>
          </w:p>
        </w:tc>
        <w:tc>
          <w:tcPr>
            <w:tcW w:w="6804" w:type="dxa"/>
            <w:vMerge w:val="continue"/>
            <w:vAlign w:val="top"/>
          </w:tcPr>
          <w:p w14:paraId="6240F9F7">
            <w:pPr>
              <w:rPr>
                <w:rFonts w:ascii="宋体" w:hAnsi="宋体"/>
                <w:i/>
                <w:iCs/>
                <w:sz w:val="18"/>
                <w:szCs w:val="18"/>
              </w:rPr>
            </w:pPr>
          </w:p>
        </w:tc>
      </w:tr>
    </w:tbl>
    <w:p w14:paraId="72560713">
      <w:pPr>
        <w:pStyle w:val="126"/>
        <w:widowControl/>
        <w:tabs>
          <w:tab w:val="left" w:pos="8595"/>
        </w:tabs>
        <w:spacing w:line="300" w:lineRule="auto"/>
        <w:ind w:firstLine="0" w:firstLineChars="0"/>
        <w:jc w:val="left"/>
        <w:rPr>
          <w:rFonts w:hint="eastAsia" w:ascii="黑体" w:hAnsi="宋体" w:eastAsia="黑体"/>
          <w:color w:val="000000"/>
          <w:sz w:val="24"/>
        </w:rPr>
      </w:pPr>
    </w:p>
    <w:p w14:paraId="63E47F1E">
      <w:pPr>
        <w:pStyle w:val="126"/>
        <w:widowControl/>
        <w:tabs>
          <w:tab w:val="left" w:pos="8595"/>
        </w:tabs>
        <w:spacing w:line="300" w:lineRule="auto"/>
        <w:ind w:firstLine="0" w:firstLineChars="0"/>
        <w:jc w:val="left"/>
        <w:rPr>
          <w:rFonts w:hint="eastAsia" w:ascii="黑体" w:hAnsi="宋体" w:eastAsia="黑体"/>
          <w:color w:val="000000"/>
          <w:sz w:val="24"/>
        </w:rPr>
      </w:pPr>
    </w:p>
    <w:p w14:paraId="7D25A6D2">
      <w:pPr>
        <w:pStyle w:val="126"/>
        <w:widowControl/>
        <w:tabs>
          <w:tab w:val="left" w:pos="8595"/>
        </w:tabs>
        <w:spacing w:line="300" w:lineRule="auto"/>
        <w:ind w:firstLine="0" w:firstLineChars="0"/>
        <w:jc w:val="left"/>
        <w:rPr>
          <w:rFonts w:hint="eastAsia" w:ascii="黑体" w:hAnsi="宋体" w:eastAsia="黑体"/>
          <w:color w:val="000000"/>
          <w:sz w:val="24"/>
        </w:rPr>
      </w:pPr>
    </w:p>
    <w:p w14:paraId="03B5C9EA">
      <w:pPr>
        <w:pStyle w:val="126"/>
        <w:widowControl/>
        <w:tabs>
          <w:tab w:val="left" w:pos="8595"/>
        </w:tabs>
        <w:spacing w:line="300" w:lineRule="auto"/>
        <w:ind w:firstLine="0" w:firstLineChars="0"/>
        <w:jc w:val="left"/>
        <w:rPr>
          <w:rFonts w:ascii="黑体" w:hAnsi="宋体" w:eastAsia="黑体"/>
          <w:color w:val="000000"/>
          <w:sz w:val="24"/>
        </w:rPr>
      </w:pPr>
      <w:r>
        <w:rPr>
          <w:rFonts w:hint="eastAsia" w:ascii="黑体" w:hAnsi="宋体" w:eastAsia="黑体"/>
          <w:color w:val="000000"/>
          <w:sz w:val="24"/>
        </w:rPr>
        <w:t>免责声明：</w:t>
      </w:r>
    </w:p>
    <w:p w14:paraId="42429877">
      <w:pPr>
        <w:spacing w:line="340" w:lineRule="exact"/>
        <w:ind w:firstLine="420" w:firstLineChars="200"/>
        <w:rPr>
          <w:rFonts w:ascii="宋体" w:hAnsi="宋体"/>
          <w:color w:val="000000"/>
        </w:rPr>
      </w:pPr>
      <w:r>
        <w:rPr>
          <w:rFonts w:hint="eastAsia" w:ascii="宋体" w:hAnsi="宋体"/>
          <w:color w:val="000000"/>
        </w:rPr>
        <w:t>1.本报告中的信息均来源于可信的公开资料或实地调研资料，我公司对这些信息的准确性及完整性不作任何保证，也不保证所包含的信息和建议不会发生任何变更。我们已力求报告内容的客观、公正，但文中的观点、结论和建议仅供参考，在任何情况下，报告中的信息或所表达的意见并不构成所述期货买卖的出价或征价，交易者据此作出的任何投资决策与本公司和作者无关，请交易者务必独立进行交易决策。我公司不对交易结果做任何保证，不对因本报告的内容而引致的损失承担任何责任。</w:t>
      </w:r>
    </w:p>
    <w:p w14:paraId="2EC8AA1D">
      <w:pPr>
        <w:spacing w:line="340" w:lineRule="exact"/>
        <w:ind w:firstLine="420" w:firstLineChars="200"/>
        <w:rPr>
          <w:rFonts w:ascii="宋体" w:hAnsi="宋体"/>
          <w:color w:val="000000"/>
        </w:rPr>
      </w:pPr>
      <w:r>
        <w:rPr>
          <w:rFonts w:hint="eastAsia" w:ascii="宋体" w:hAnsi="宋体"/>
          <w:color w:val="000000"/>
        </w:rPr>
        <w:t>2.市场具有不确定性，过往策略观点的吻合并不保证当前策略观点的正确。公司及其他研究员可能发表与本策略观点不同甚至相反的意见。报告所载资料、意见及推测仅反映研究人员于发出本报告当日的判断，可随时更改且无需另行通告。</w:t>
      </w:r>
    </w:p>
    <w:p w14:paraId="123833D9">
      <w:pPr>
        <w:spacing w:line="340" w:lineRule="exact"/>
        <w:ind w:firstLine="420" w:firstLineChars="200"/>
        <w:rPr>
          <w:rFonts w:ascii="宋体" w:hAnsi="宋体"/>
          <w:color w:val="000000"/>
        </w:rPr>
      </w:pPr>
      <w:r>
        <w:rPr>
          <w:rFonts w:hint="eastAsia" w:ascii="宋体" w:hAnsi="宋体"/>
          <w:color w:val="000000"/>
        </w:rPr>
        <w:t>3.在法律范围内，公司或关联机构可能会就涉及的品种进行交易，或可能为其他公司交易提供服务。</w:t>
      </w:r>
    </w:p>
    <w:p w14:paraId="5478B9C8">
      <w:pPr>
        <w:spacing w:line="340" w:lineRule="exact"/>
        <w:ind w:firstLine="420" w:firstLineChars="200"/>
        <w:rPr>
          <w:rFonts w:ascii="宋体" w:hAnsi="宋体"/>
          <w:color w:val="000000"/>
        </w:rPr>
      </w:pPr>
      <w:r>
        <w:rPr>
          <w:rFonts w:hint="eastAsia" w:ascii="宋体" w:hAnsi="宋体"/>
          <w:color w:val="000000"/>
        </w:rPr>
        <w:t>4.本报告版权仅为浙江新世纪期货有限公司所有。未经事先书面许可，任何机构和个人不得以任何形式翻版、复制、刊登、转载和引用，否则由此造成的一切不良后果及法律责任由私自翻版、复制、刊登、转载和引用者承担。</w:t>
      </w:r>
    </w:p>
    <w:p w14:paraId="197376AA">
      <w:pPr>
        <w:spacing w:line="340" w:lineRule="exact"/>
        <w:ind w:firstLine="420" w:firstLineChars="200"/>
        <w:rPr>
          <w:rFonts w:ascii="宋体" w:hAnsi="宋体"/>
          <w:color w:val="000000"/>
        </w:rPr>
      </w:pPr>
    </w:p>
    <w:sectPr>
      <w:headerReference r:id="rId3" w:type="default"/>
      <w:footerReference r:id="rId5" w:type="default"/>
      <w:headerReference r:id="rId4" w:type="even"/>
      <w:footerReference r:id="rId6" w:type="even"/>
      <w:pgSz w:w="11906" w:h="16838"/>
      <w:pgMar w:top="1701" w:right="1274" w:bottom="1701" w:left="9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Arial Black">
    <w:panose1 w:val="020B0A04020102020204"/>
    <w:charset w:val="00"/>
    <w:family w:val="swiss"/>
    <w:pitch w:val="default"/>
    <w:sig w:usb0="A00002AF" w:usb1="400078FB" w:usb2="00000000" w:usb3="00000000" w:csb0="6000009F" w:csb1="DFD7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19D00">
    <w:pPr>
      <w:pStyle w:val="55"/>
      <w:framePr w:wrap="around" w:vAnchor="text" w:hAnchor="page" w:x="10621" w:y="-182"/>
      <w:rPr>
        <w:rStyle w:val="92"/>
        <w:rFonts w:ascii="仿宋_GB2312" w:hAnsi="仿宋_GB2312" w:eastAsia="仿宋_GB2312"/>
        <w:color w:val="CC0000"/>
        <w:sz w:val="22"/>
      </w:rPr>
    </w:pPr>
    <w:r>
      <w:rPr>
        <w:rFonts w:hint="eastAsia" w:ascii="仿宋_GB2312" w:hAnsi="仿宋_GB2312" w:eastAsia="仿宋_GB2312"/>
        <w:b/>
        <w:color w:val="CC0000"/>
        <w:sz w:val="30"/>
      </w:rPr>
      <w:fldChar w:fldCharType="begin"/>
    </w:r>
    <w:r>
      <w:rPr>
        <w:rStyle w:val="92"/>
        <w:rFonts w:hint="eastAsia" w:ascii="仿宋_GB2312" w:hAnsi="仿宋_GB2312" w:eastAsia="仿宋_GB2312"/>
        <w:b/>
        <w:color w:val="CC0000"/>
        <w:sz w:val="30"/>
      </w:rPr>
      <w:instrText xml:space="preserve">PAGE  </w:instrText>
    </w:r>
    <w:r>
      <w:rPr>
        <w:rFonts w:hint="eastAsia" w:ascii="仿宋_GB2312" w:hAnsi="仿宋_GB2312" w:eastAsia="仿宋_GB2312"/>
        <w:b/>
        <w:color w:val="CC0000"/>
        <w:sz w:val="30"/>
      </w:rPr>
      <w:fldChar w:fldCharType="separate"/>
    </w:r>
    <w:r>
      <w:rPr>
        <w:rStyle w:val="92"/>
        <w:rFonts w:ascii="仿宋_GB2312" w:hAnsi="仿宋_GB2312" w:eastAsia="仿宋_GB2312"/>
        <w:b/>
        <w:color w:val="CC0000"/>
        <w:sz w:val="30"/>
      </w:rPr>
      <w:t>5</w:t>
    </w:r>
    <w:r>
      <w:rPr>
        <w:rFonts w:hint="eastAsia" w:ascii="仿宋_GB2312" w:hAnsi="仿宋_GB2312" w:eastAsia="仿宋_GB2312"/>
        <w:b/>
        <w:color w:val="CC0000"/>
        <w:sz w:val="30"/>
      </w:rPr>
      <w:fldChar w:fldCharType="end"/>
    </w:r>
  </w:p>
  <w:p w14:paraId="173D1DF3">
    <w:pPr>
      <w:pStyle w:val="55"/>
      <w:rPr>
        <w:sz w:val="21"/>
      </w:rPr>
    </w:pPr>
    <w:r>
      <mc:AlternateContent>
        <mc:Choice Requires="wps">
          <w:drawing>
            <wp:anchor distT="0" distB="0" distL="114300" distR="114300" simplePos="0" relativeHeight="251664384" behindDoc="0" locked="0" layoutInCell="1" allowOverlap="1">
              <wp:simplePos x="0" y="0"/>
              <wp:positionH relativeFrom="column">
                <wp:posOffset>6068695</wp:posOffset>
              </wp:positionH>
              <wp:positionV relativeFrom="page">
                <wp:posOffset>9599295</wp:posOffset>
              </wp:positionV>
              <wp:extent cx="342900" cy="297180"/>
              <wp:effectExtent l="0" t="0" r="0" b="7620"/>
              <wp:wrapNone/>
              <wp:docPr id="8" name="Rectangle 8"/>
              <wp:cNvGraphicFramePr/>
              <a:graphic xmlns:a="http://schemas.openxmlformats.org/drawingml/2006/main">
                <a:graphicData uri="http://schemas.microsoft.com/office/word/2010/wordprocessingShape">
                  <wps:wsp>
                    <wps:cNvSpPr/>
                    <wps:spPr>
                      <a:xfrm>
                        <a:off x="0" y="0"/>
                        <a:ext cx="342900" cy="297180"/>
                      </a:xfrm>
                      <a:prstGeom prst="rect">
                        <a:avLst/>
                      </a:prstGeom>
                      <a:noFill/>
                      <a:ln w="25400" cap="flat" cmpd="sng">
                        <a:solidFill>
                          <a:srgbClr val="CC0000"/>
                        </a:solidFill>
                        <a:prstDash val="solid"/>
                        <a:miter/>
                        <a:headEnd type="none" w="med" len="med"/>
                        <a:tailEnd type="none" w="med" len="med"/>
                      </a:ln>
                      <a:effectLst/>
                    </wps:spPr>
                    <wps:bodyPr wrap="square" upright="1"/>
                  </wps:wsp>
                </a:graphicData>
              </a:graphic>
            </wp:anchor>
          </w:drawing>
        </mc:Choice>
        <mc:Fallback>
          <w:pict>
            <v:rect id="Rectangle 8" o:spid="_x0000_s1026" o:spt="1" style="position:absolute;left:0pt;margin-left:477.85pt;margin-top:755.85pt;height:23.4pt;width:27pt;mso-position-vertical-relative:page;z-index:251664384;mso-width-relative:page;mso-height-relative:page;" filled="f" stroked="t" coordsize="21600,21600" o:gfxdata="UEsDBAoAAAAAAIdO4kAAAAAAAAAAAAAAAAAEAAAAZHJzL1BLAwQUAAAACACHTuJAOz+Y99sAAAAO&#10;AQAADwAAAGRycy9kb3ducmV2LnhtbE2PS0/DMBCE70j8B2uRuFE7gGkb4vSAhISAVqIPiaObbOOA&#10;H1HstuHfsznBbXZnNPttsRicZSfsYxu8gmwigKGvQt36RsF283wzAxaT9rW2waOCH4ywKC8vCp3X&#10;4ew/8LRODaMSH3OtwKTU5ZzHyqDTcRI69OQdQu90orFveN3rM5U7y2+FeOBOt54uGN3hk8Hqe310&#10;Ct4Hc7d02dvryw6Hr3v7udocpiulrq8y8Qgs4ZD+wjDiEzqUxLQPR19HZhXMpZxSlAyZZaTGiBBz&#10;UvtxJ2cSeFnw/2+Uv1BLAwQUAAAACACHTuJA4MP5N/sBAAAUBAAADgAAAGRycy9lMm9Eb2MueG1s&#10;rVNNc9MwEL0zw3/Q6E7spAVST5weEsqFgQ6FH7CR1rZm9IWkxMm/ZyWHUMolh/ogr6TVe/ueVqv7&#10;o9HsgCEqZ1s+n9WcoRVOKtu3/OePh3dLzmICK0E7iy0/YeT367dvVqNvcOEGpyUGRiA2NqNv+ZCS&#10;b6oqigENxJnzaGmzc8FAomnoKxlgJHSjq0Vdf6hGF6QPTmCMtLqdNvkZMVwD6LpOCdw6sTdo04Qa&#10;UEMiSXFQPvJ1qbbrUKRvXRcxMd1yUprKSCQU7/JYrVfQ9AH8oMS5BLimhBeaDChLpBeoLSRg+6D+&#10;gzJKBBddl2bCmWoSUhwhFfP6hTdPA3gsWsjq6C+mx9eDFV8Pj4Ep2XK6dguGLvw7mQa218iW2Z7R&#10;x4aynvxjOM8ihVnrsQsm/0kFOxZLTxdL8ZiYoMWb28VdTWYL2lrcfZwvi+XV38M+xPQZnWE5aHkg&#10;8mIkHL7ERISU+iclc1n3oLQut6YtGwn0/W3BB2rFjlqAqIwnOdH2BSc6rWQ+k0/H0O82OrADUDts&#10;NjV9WSJx/JOWCbcQhymvbE2NYlTC7AI0A4L8ZCVLJ0+WWXopPFdjUHKmkR5WjkpmAqWvyaQitM3Q&#10;WNr2rD67P/mdo52TJ7qukfqVFP7aQyDavQ+qH8i7edGS86hZiqpzY+dufD6n+PljX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z+Y99sAAAAOAQAADwAAAAAAAAABACAAAAAiAAAAZHJzL2Rvd25y&#10;ZXYueG1sUEsBAhQAFAAAAAgAh07iQODD+Tf7AQAAFAQAAA4AAAAAAAAAAQAgAAAAKgEAAGRycy9l&#10;Mm9Eb2MueG1sUEsFBgAAAAAGAAYAWQEAAJcFAAAAAA==&#10;">
              <v:fill on="f" focussize="0,0"/>
              <v:stroke weight="2pt" color="#CC0000" joinstyle="miter"/>
              <v:imagedata o:title=""/>
              <o:lock v:ext="edit" aspectratio="f"/>
            </v:rect>
          </w:pict>
        </mc:Fallback>
      </mc:AlternateContent>
    </w:r>
    <w:r>
      <w:rPr>
        <w:sz w:val="20"/>
        <w:u w:val="thick"/>
      </w:rPr>
      <mc:AlternateContent>
        <mc:Choice Requires="wps">
          <w:drawing>
            <wp:anchor distT="0" distB="0" distL="114300" distR="114300" simplePos="0" relativeHeight="251663360" behindDoc="0" locked="0" layoutInCell="1" allowOverlap="1">
              <wp:simplePos x="0" y="0"/>
              <wp:positionH relativeFrom="column">
                <wp:posOffset>2066290</wp:posOffset>
              </wp:positionH>
              <wp:positionV relativeFrom="page">
                <wp:posOffset>9599295</wp:posOffset>
              </wp:positionV>
              <wp:extent cx="3995420" cy="297180"/>
              <wp:effectExtent l="0" t="0" r="5080" b="7620"/>
              <wp:wrapNone/>
              <wp:docPr id="7" name="Rectangle 7"/>
              <wp:cNvGraphicFramePr/>
              <a:graphic xmlns:a="http://schemas.openxmlformats.org/drawingml/2006/main">
                <a:graphicData uri="http://schemas.microsoft.com/office/word/2010/wordprocessingShape">
                  <wps:wsp>
                    <wps:cNvSpPr/>
                    <wps:spPr>
                      <a:xfrm>
                        <a:off x="0" y="0"/>
                        <a:ext cx="3995420" cy="297180"/>
                      </a:xfrm>
                      <a:prstGeom prst="rect">
                        <a:avLst/>
                      </a:prstGeom>
                      <a:solidFill>
                        <a:srgbClr val="CC0000"/>
                      </a:solidFill>
                      <a:ln w="25400" cap="flat" cmpd="sng">
                        <a:solidFill>
                          <a:srgbClr val="CC0000"/>
                        </a:solidFill>
                        <a:prstDash val="solid"/>
                        <a:miter/>
                        <a:headEnd type="none" w="med" len="med"/>
                        <a:tailEnd type="none" w="med" len="med"/>
                      </a:ln>
                      <a:effectLst/>
                    </wps:spPr>
                    <wps:txbx>
                      <w:txbxContent>
                        <w:p w14:paraId="0907C90C">
                          <w:pPr>
                            <w:ind w:firstLine="361" w:firstLineChars="150"/>
                            <w:jc w:val="center"/>
                            <w:rPr>
                              <w:rFonts w:ascii="宋体" w:hAnsi="宋体"/>
                              <w:b/>
                              <w:color w:val="FFFFFF"/>
                              <w:sz w:val="24"/>
                            </w:rPr>
                          </w:pPr>
                          <w:r>
                            <w:rPr>
                              <w:rFonts w:hint="eastAsia" w:ascii="宋体" w:hAnsi="宋体"/>
                              <w:b/>
                              <w:color w:val="FFFFFF"/>
                              <w:sz w:val="24"/>
                            </w:rPr>
                            <w:t>期市有风险投资须谨慎</w:t>
                          </w:r>
                        </w:p>
                      </w:txbxContent>
                    </wps:txbx>
                    <wps:bodyPr wrap="square" upright="1"/>
                  </wps:wsp>
                </a:graphicData>
              </a:graphic>
            </wp:anchor>
          </w:drawing>
        </mc:Choice>
        <mc:Fallback>
          <w:pict>
            <v:rect id="Rectangle 7" o:spid="_x0000_s1026" o:spt="1" style="position:absolute;left:0pt;margin-left:162.7pt;margin-top:755.85pt;height:23.4pt;width:314.6pt;mso-position-vertical-relative:page;z-index:251663360;mso-width-relative:page;mso-height-relative:page;" fillcolor="#CC0000" filled="t" stroked="t" coordsize="21600,21600" o:gfxdata="UEsDBAoAAAAAAIdO4kAAAAAAAAAAAAAAAAAEAAAAZHJzL1BLAwQUAAAACACHTuJASgwOuNsAAAAN&#10;AQAADwAAAGRycy9kb3ducmV2LnhtbE2Py07DMBBF90j8gzVI7KiTNClpiNMFEg8BC2j7AW48JAE/&#10;gu027d8zXcFy5h7dOVOvjkazA/owOCsgnSXA0LZODbYTsN083JTAQpRWSe0sCjhhgFVzeVHLSrnJ&#10;fuBhHTtGJTZUUkAf41hxHtoejQwzN6Kl7NN5IyONvuPKy4nKjeZZkiy4kYOlC70c8b7H9nu9NwKe&#10;X7749Piad+9xrn+2Piv90+lNiOurNLkDFvEY/2A465M6NOS0c3urAtMC5lmRE0pBkaa3wAhZFvkC&#10;2O68KsoCeFPz/180v1BLAwQUAAAACACHTuJA70KlGQUCAABJBAAADgAAAGRycy9lMm9Eb2MueG1s&#10;rVRNb9swDL0P2H8QdF+cZO3SGHF6SNZdhq1Ytx/AyLQtQF+TlNj596NkN2u7Sw7zQSYt6pHvkfLm&#10;ftCKndAHaU3FF7M5Z2iEraVpK/7r58OHO85CBFODsgYrfsbA77fv3216V+LSdlbV6BmBmFD2ruJd&#10;jK4siiA61BBm1qGhzcZ6DZFc3xa1h57QtSqW8/mnore+dt4KDIG+7sdNPiH6awBt00iBeyuOGk0c&#10;UT0qiEQpdNIFvs3VNg2K+L1pAkamKk5MY14pCdmHtBbbDZStB9dJMZUA15TwhpMGaSjpBWoPEdjR&#10;y3+gtBTeBtvEmbC6GIlkRYjFYv5Gm6cOHGYuJHVwF9HD/4MV306Pnsm64ivODGhq+A8SDUyrkK2S&#10;PL0LJUU9uUc/eYHMxHVovE5vYsGGLOn5IikOkQn6+HG9vr1ZktqC9pbr1eIua178Pe18iF/QapaM&#10;invKnpWE09cQKSOFPoekZMEqWT9IpbLj28NOeXYCau9uN6cnlUxHXoUpw3rKfntD20wADW1Dw0Km&#10;dkQ8mDYnfHUkXIecKttD6MYKMsI4UlpGTHpB2SHUn03N4tmRuIbuFE/VaKw5U0hXMFk5MoJU10QS&#10;PWUSNOYBn2RKfRo7k6w4HAYCTebB1mfqcU9DTmR/H8FTBUfnZduR3ossWIqjCcvSTbchjfBLn+yX&#10;f4Dt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oMDrjbAAAADQEAAA8AAAAAAAAAAQAgAAAAIgAA&#10;AGRycy9kb3ducmV2LnhtbFBLAQIUABQAAAAIAIdO4kDvQqUZBQIAAEkEAAAOAAAAAAAAAAEAIAAA&#10;ACoBAABkcnMvZTJvRG9jLnhtbFBLBQYAAAAABgAGAFkBAAChBQAAAAA=&#10;">
              <v:fill on="t" focussize="0,0"/>
              <v:stroke weight="2pt" color="#CC0000" joinstyle="miter"/>
              <v:imagedata o:title=""/>
              <o:lock v:ext="edit" aspectratio="f"/>
              <v:textbox>
                <w:txbxContent>
                  <w:p w14:paraId="0907C90C">
                    <w:pPr>
                      <w:ind w:firstLine="361" w:firstLineChars="150"/>
                      <w:jc w:val="center"/>
                      <w:rPr>
                        <w:rFonts w:ascii="宋体" w:hAnsi="宋体"/>
                        <w:b/>
                        <w:color w:val="FFFFFF"/>
                        <w:sz w:val="24"/>
                      </w:rPr>
                    </w:pPr>
                    <w:r>
                      <w:rPr>
                        <w:rFonts w:hint="eastAsia" w:ascii="宋体" w:hAnsi="宋体"/>
                        <w:b/>
                        <w:color w:val="FFFFFF"/>
                        <w:sz w:val="24"/>
                      </w:rPr>
                      <w:t>期市有风险投资须谨慎</w:t>
                    </w:r>
                  </w:p>
                </w:txbxContent>
              </v:textbox>
            </v:rect>
          </w:pict>
        </mc:Fallback>
      </mc:AlternateContent>
    </w:r>
  </w:p>
  <w:p w14:paraId="4D8641FA">
    <w:pPr>
      <w:pStyle w:val="55"/>
    </w:pPr>
    <w:r>
      <mc:AlternateContent>
        <mc:Choice Requires="wps">
          <w:drawing>
            <wp:anchor distT="0" distB="0" distL="114300" distR="114300" simplePos="0" relativeHeight="251665408" behindDoc="0" locked="0" layoutInCell="1" allowOverlap="1">
              <wp:simplePos x="0" y="0"/>
              <wp:positionH relativeFrom="column">
                <wp:posOffset>-243840</wp:posOffset>
              </wp:positionH>
              <wp:positionV relativeFrom="page">
                <wp:posOffset>9599295</wp:posOffset>
              </wp:positionV>
              <wp:extent cx="2286000" cy="297180"/>
              <wp:effectExtent l="0" t="0" r="0" b="7620"/>
              <wp:wrapNone/>
              <wp:docPr id="9" name="Text Box 6"/>
              <wp:cNvGraphicFramePr/>
              <a:graphic xmlns:a="http://schemas.openxmlformats.org/drawingml/2006/main">
                <a:graphicData uri="http://schemas.microsoft.com/office/word/2010/wordprocessingShape">
                  <wps:wsp>
                    <wps:cNvSpPr txBox="1"/>
                    <wps:spPr>
                      <a:xfrm>
                        <a:off x="0" y="0"/>
                        <a:ext cx="2286000" cy="297180"/>
                      </a:xfrm>
                      <a:prstGeom prst="rect">
                        <a:avLst/>
                      </a:prstGeom>
                      <a:noFill/>
                      <a:ln w="25400" cap="flat" cmpd="sng">
                        <a:solidFill>
                          <a:srgbClr val="CC0000"/>
                        </a:solidFill>
                        <a:prstDash val="solid"/>
                        <a:miter/>
                        <a:headEnd type="none" w="med" len="med"/>
                        <a:tailEnd type="none" w="med" len="med"/>
                      </a:ln>
                      <a:effectLst/>
                    </wps:spPr>
                    <wps:txbx>
                      <w:txbxContent>
                        <w:p w14:paraId="776A1514">
                          <w:pPr>
                            <w:jc w:val="center"/>
                            <w:rPr>
                              <w:rFonts w:ascii="宋体" w:hAnsi="宋体"/>
                              <w:b/>
                              <w:color w:val="CC0000"/>
                            </w:rPr>
                          </w:pPr>
                          <w:r>
                            <w:rPr>
                              <w:rFonts w:hint="eastAsia" w:ascii="宋体" w:hAnsi="宋体"/>
                              <w:b/>
                              <w:color w:val="CC0000"/>
                            </w:rPr>
                            <w:t>敬请参阅文后的免责声明</w:t>
                          </w:r>
                        </w:p>
                      </w:txbxContent>
                    </wps:txbx>
                    <wps:bodyPr wrap="square" upright="1"/>
                  </wps:wsp>
                </a:graphicData>
              </a:graphic>
            </wp:anchor>
          </w:drawing>
        </mc:Choice>
        <mc:Fallback>
          <w:pict>
            <v:shape id="Text Box 6" o:spid="_x0000_s1026" o:spt="202" type="#_x0000_t202" style="position:absolute;left:0pt;margin-left:-19.2pt;margin-top:755.85pt;height:23.4pt;width:180pt;mso-position-vertical-relative:page;z-index:251665408;mso-width-relative:page;mso-height-relative:page;" filled="f" stroked="t" coordsize="21600,21600" o:gfxdata="UEsDBAoAAAAAAIdO4kAAAAAAAAAAAAAAAAAEAAAAZHJzL1BLAwQUAAAACACHTuJAe95PndoAAAAN&#10;AQAADwAAAGRycy9kb3ducmV2LnhtbE2Py26DMBBF95X6D9ZU6i4xhkApwWRRKaq66CKhH+DAFEjx&#10;GGHn9fedrNrlzD26c6bcXO0ozjj7wZEGtYxAIDWuHajT8FVvFzkIHwy1ZnSEGm7oYVM9PpSmaN2F&#10;dnjeh05wCfnCaOhDmAopfdOjNX7pJiTOvt1sTeBx7mQ7mwuX21HGUZRJawbiC72Z8K3H5md/shri&#10;15tcddvPJKM6/4jfs6PbhVrr5ycVrUEEvIY/GO76rA4VOx3ciVovRg2LJF8xykGq1AsIRpJYZSAO&#10;91WapyCrUv7/ovoFUEsDBBQAAAAIAIdO4kDr4fCNBAIAACkEAAAOAAAAZHJzL2Uyb0RvYy54bWyt&#10;U02P0zAQvSPxHyzfadIKym7VdCValgsCpF1+gGs7iSV/YbtN+u95dtqyLJceuCTjmfGbeW/G64fR&#10;aHKUISpnGzqf1ZRIy51Qtmvoz+fHd3eUxMSsYNpZ2dCTjPRh8/bNevAruXC900IGAhAbV4NvaJ+S&#10;X1VV5L00LM6clxbB1gXDEo6hq0RgA9CNrhZ1vawGF4QPjssY4d1NQXpGDLcAurZVXO4cPxhp04Qa&#10;pGYJlGKvfKSb0m3bSp6+t22UieiGgmkqXxSBvc/farNmqy4w3yt+boHd0sIrToYpi6JXqB1LjByC&#10;+gfKKB5cdG2acWeqiUhRBCzm9SttnnrmZeECqaO/ih7/Hyz/dvwRiBINvafEMoOBP8sxkU9uJMus&#10;zuDjCklPHmlphBs7c/FHODPpsQ0m/0GHIA5tT1dtMxiHc7G4W9Y1Qhyxxf3H+V0Rv/pz24eYvkhn&#10;SDYaGjC7Iik7fo0JnSD1kpKLWfeotC7z05YMAP3wvuAzLGWLZUAp40Es2q7gRKeVyHfy7Ri6/VYH&#10;cmRYjO0WnV3a+SstF9yx2E95JTStjFFJhlK8l0x8toKkk4d4Fm+G5m6MFJRoiSeWrZKZmNK3ZIKo&#10;trlJWRb4zD4PYhI8W2ncjwDN5t6JE4YzYIlB9teBBXRw8EF1PWQsw6pyHjaoiHje9ryiL8+wX77w&#10;z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73k+d2gAAAA0BAAAPAAAAAAAAAAEAIAAAACIAAABk&#10;cnMvZG93bnJldi54bWxQSwECFAAUAAAACACHTuJA6+HwjQQCAAApBAAADgAAAAAAAAABACAAAAAp&#10;AQAAZHJzL2Uyb0RvYy54bWxQSwUGAAAAAAYABgBZAQAAnwUAAAAA&#10;">
              <v:fill on="f" focussize="0,0"/>
              <v:stroke weight="2pt" color="#CC0000" joinstyle="miter"/>
              <v:imagedata o:title=""/>
              <o:lock v:ext="edit" aspectratio="f"/>
              <v:textbox>
                <w:txbxContent>
                  <w:p w14:paraId="776A1514">
                    <w:pPr>
                      <w:jc w:val="center"/>
                      <w:rPr>
                        <w:rFonts w:ascii="宋体" w:hAnsi="宋体"/>
                        <w:b/>
                        <w:color w:val="CC0000"/>
                      </w:rPr>
                    </w:pPr>
                    <w:r>
                      <w:rPr>
                        <w:rFonts w:hint="eastAsia" w:ascii="宋体" w:hAnsi="宋体"/>
                        <w:b/>
                        <w:color w:val="CC0000"/>
                      </w:rPr>
                      <w:t>敬请参阅文后的免责声明</w:t>
                    </w:r>
                  </w:p>
                </w:txbxContent>
              </v:textbox>
            </v:shape>
          </w:pict>
        </mc:Fallback>
      </mc:AlternateContent>
    </w:r>
  </w:p>
  <w:p w14:paraId="77B77F4B"/>
  <w:p w14:paraId="2E78ECCC"/>
  <w:p w14:paraId="24CB0B30"/>
  <w:p w14:paraId="4B893F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4296">
    <w:pPr>
      <w:pStyle w:val="55"/>
      <w:rPr>
        <w:b/>
        <w:i/>
        <w:sz w:val="21"/>
      </w:rPr>
    </w:pPr>
    <w:r>
      <w:rPr>
        <w:rFonts w:hint="eastAsia"/>
        <w:b/>
        <w:i/>
        <w:sz w:val="21"/>
      </w:rPr>
      <w:t>内部交流资料，仅供参考</w:t>
    </w:r>
    <w:r>
      <w:fldChar w:fldCharType="begin"/>
    </w:r>
    <w:r>
      <w:rPr>
        <w:rStyle w:val="92"/>
      </w:rPr>
      <w:instrText xml:space="preserve"> PAGE </w:instrText>
    </w:r>
    <w:r>
      <w:fldChar w:fldCharType="separate"/>
    </w:r>
    <w:r>
      <w:rPr>
        <w:rStyle w:val="92"/>
      </w:rPr>
      <w:t>1</w:t>
    </w:r>
    <w:r>
      <w:fldChar w:fldCharType="end"/>
    </w:r>
  </w:p>
  <w:p w14:paraId="63810AD7"/>
  <w:p w14:paraId="4F83471F"/>
  <w:p w14:paraId="6E8E5D96"/>
  <w:p w14:paraId="623589B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88274">
    <w:pPr>
      <w:rPr>
        <w:rFonts w:ascii="宋体" w:hAnsi="宋体"/>
        <w:kern w:val="0"/>
        <w:sz w:val="24"/>
      </w:rPr>
    </w:pPr>
    <w:r>
      <w:drawing>
        <wp:anchor distT="0" distB="0" distL="114300" distR="114300" simplePos="0" relativeHeight="251666432" behindDoc="0" locked="0" layoutInCell="1" allowOverlap="1">
          <wp:simplePos x="0" y="0"/>
          <wp:positionH relativeFrom="column">
            <wp:posOffset>-270510</wp:posOffset>
          </wp:positionH>
          <wp:positionV relativeFrom="paragraph">
            <wp:posOffset>32385</wp:posOffset>
          </wp:positionV>
          <wp:extent cx="2687320" cy="499110"/>
          <wp:effectExtent l="0" t="0" r="17780" b="15240"/>
          <wp:wrapNone/>
          <wp:docPr id="1" name="图片 1" descr="3200db4055a0b69e265cb00961886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200db4055a0b69e265cb00961886ee"/>
                  <pic:cNvPicPr>
                    <a:picLocks noChangeAspect="1"/>
                  </pic:cNvPicPr>
                </pic:nvPicPr>
                <pic:blipFill>
                  <a:blip r:embed="rId1"/>
                  <a:stretch>
                    <a:fillRect/>
                  </a:stretch>
                </pic:blipFill>
                <pic:spPr>
                  <a:xfrm>
                    <a:off x="0" y="0"/>
                    <a:ext cx="2687320" cy="49911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4273550</wp:posOffset>
              </wp:positionH>
              <wp:positionV relativeFrom="paragraph">
                <wp:posOffset>44450</wp:posOffset>
              </wp:positionV>
              <wp:extent cx="2009775" cy="396240"/>
              <wp:effectExtent l="0" t="0" r="0" b="0"/>
              <wp:wrapNone/>
              <wp:docPr id="3" name="AutoShape 5"/>
              <wp:cNvGraphicFramePr/>
              <a:graphic xmlns:a="http://schemas.openxmlformats.org/drawingml/2006/main">
                <a:graphicData uri="http://schemas.microsoft.com/office/word/2010/wordprocessingShape">
                  <wps:wsp>
                    <wps:cNvSpPr/>
                    <wps:spPr>
                      <a:xfrm>
                        <a:off x="0" y="0"/>
                        <a:ext cx="2009775" cy="396240"/>
                      </a:xfrm>
                      <a:prstGeom prst="roundRect">
                        <a:avLst>
                          <a:gd name="adj" fmla="val 16667"/>
                        </a:avLst>
                      </a:prstGeom>
                      <a:noFill/>
                      <a:ln w="9525">
                        <a:noFill/>
                      </a:ln>
                      <a:effectLst/>
                    </wps:spPr>
                    <wps:txbx>
                      <w:txbxContent>
                        <w:p w14:paraId="0800C127">
                          <w:pPr>
                            <w:ind w:firstLine="1299" w:firstLineChars="539"/>
                            <w:rPr>
                              <w:rFonts w:ascii="黑体" w:eastAsia="黑体"/>
                              <w:b/>
                              <w:color w:val="000000"/>
                              <w:sz w:val="24"/>
                            </w:rPr>
                          </w:pPr>
                          <w:r>
                            <w:rPr>
                              <w:rFonts w:hint="eastAsia" w:ascii="黑体" w:eastAsia="黑体"/>
                              <w:b/>
                              <w:color w:val="000000"/>
                              <w:sz w:val="24"/>
                            </w:rPr>
                            <w:t>交易提示</w:t>
                          </w:r>
                        </w:p>
                      </w:txbxContent>
                    </wps:txbx>
                    <wps:bodyPr wrap="square" upright="1"/>
                  </wps:wsp>
                </a:graphicData>
              </a:graphic>
            </wp:anchor>
          </w:drawing>
        </mc:Choice>
        <mc:Fallback>
          <w:pict>
            <v:roundrect id="AutoShape 5" o:spid="_x0000_s1026" o:spt="2" style="position:absolute;left:0pt;margin-left:336.5pt;margin-top:3.5pt;height:31.2pt;width:158.25pt;z-index:251659264;mso-width-relative:page;mso-height-relative:page;" filled="f" stroked="f" coordsize="21600,21600" arcsize="0.166666666666667" o:gfxdata="UEsDBAoAAAAAAIdO4kAAAAAAAAAAAAAAAAAEAAAAZHJzL1BLAwQUAAAACACHTuJA+I2aBNgAAAAI&#10;AQAADwAAAGRycy9kb3ducmV2LnhtbE2Py07DMBBF90j8gzVI7KhdCk0T4lQ8xAoVROED3GRIAvY4&#10;sp029OsZVrAajc7ozrnlenJW7DHE3pOG+UyBQKp901Or4f3t8WIFIiZDjbGeUMM3RlhXpyelKRp/&#10;oFfcb1MrOIRiYTR0KQ2FlLHu0Jk48wMSsw8fnEm8hlY2wRw43Fl5qdRSOtMTf+jMgPcd1l/b0Wn4&#10;tA/y5U65MWvt87R5yo7hdnHU+vxsrm5AJJzS3zH86rM6VOy08yM1UVgNy2zBXZKGjAfzfJVfg9gx&#10;yK9AVqX8X6D6AVBLAwQUAAAACACHTuJAUSTCzMwBAACaAwAADgAAAGRycy9lMm9Eb2MueG1srVNN&#10;b9swDL0P6H8QdF+cpIuzGHGKAUF3Kbpi3X6Aoo9Yg74qyrHz70cpXjp0lx52kUlRfOR7pLd3ozXk&#10;JCNo71q6mM0pkY57od2xpT9/3H/8TAkk5gQz3smWniXQu93Nh+0QGrn0nTdCRoIgDpohtLRLKTRV&#10;BbyTlsHMB+kwqHy0LKEbj5WIbEB0a6rlfF5Xg48iRM8lAN7uL0E6Icb3AHqlNJd7z3srXbqgRmlY&#10;QkrQ6QB0V7pVSvL0TSmQiZiWItNUTiyC9iGf1W7LmmNkodN8aoG9p4U3nCzTDoteofYsMdJH/Q+U&#10;1Tx68CrNuLfVhUhRBFks5m+0ee5YkIULSg3hKjr8P1j+eHqKRIuW3lLimMWBf+mTL5XJKsszBGjw&#10;1XN4ipMHaGauo4o2f5EFGYuk56ukckyE4yVOfLNeryjhGLvd1MtPRfPqNTtESF+ltyQbLY2+d+I7&#10;zq3IyU4PkIquYuqOiV+UKGtwSidmyKKu63VuExGnx2j9wcyZzt9rY8qcjSNDSzer5aqAXyOYYVx+&#10;K8vGYMkMmIlfqGYrjYdx4n/w4oyiDbg1LYWXnkVJSR+iPnZIYFG6ySk4stLXtF55J/72S4nXX2r3&#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iNmgTYAAAACAEAAA8AAAAAAAAAAQAgAAAAIgAAAGRy&#10;cy9kb3ducmV2LnhtbFBLAQIUABQAAAAIAIdO4kBRJMLMzAEAAJoDAAAOAAAAAAAAAAEAIAAAACcB&#10;AABkcnMvZTJvRG9jLnhtbFBLBQYAAAAABgAGAFkBAABlBQAAAAA=&#10;">
              <v:fill on="f" focussize="0,0"/>
              <v:stroke on="f"/>
              <v:imagedata o:title=""/>
              <o:lock v:ext="edit" aspectratio="f"/>
              <v:textbox>
                <w:txbxContent>
                  <w:p w14:paraId="0800C127">
                    <w:pPr>
                      <w:ind w:firstLine="1299" w:firstLineChars="539"/>
                      <w:rPr>
                        <w:rFonts w:ascii="黑体" w:eastAsia="黑体"/>
                        <w:b/>
                        <w:color w:val="000000"/>
                        <w:sz w:val="24"/>
                      </w:rPr>
                    </w:pPr>
                    <w:r>
                      <w:rPr>
                        <w:rFonts w:hint="eastAsia" w:ascii="黑体" w:eastAsia="黑体"/>
                        <w:b/>
                        <w:color w:val="000000"/>
                        <w:sz w:val="24"/>
                      </w:rPr>
                      <w:t>交易提示</w:t>
                    </w:r>
                  </w:p>
                </w:txbxContent>
              </v:textbox>
            </v:round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4457700</wp:posOffset>
              </wp:positionH>
              <wp:positionV relativeFrom="paragraph">
                <wp:posOffset>440690</wp:posOffset>
              </wp:positionV>
              <wp:extent cx="1828800" cy="635"/>
              <wp:effectExtent l="0" t="0" r="0" b="18415"/>
              <wp:wrapNone/>
              <wp:docPr id="4" name="Line 3"/>
              <wp:cNvGraphicFramePr/>
              <a:graphic xmlns:a="http://schemas.openxmlformats.org/drawingml/2006/main">
                <a:graphicData uri="http://schemas.microsoft.com/office/word/2010/wordprocessingShape">
                  <wps:wsp>
                    <wps:cNvCnPr/>
                    <wps:spPr>
                      <a:xfrm>
                        <a:off x="0" y="0"/>
                        <a:ext cx="1828800" cy="635"/>
                      </a:xfrm>
                      <a:prstGeom prst="line">
                        <a:avLst/>
                      </a:prstGeom>
                      <a:ln w="19050" cap="flat" cmpd="sng">
                        <a:solidFill>
                          <a:srgbClr val="CC0000"/>
                        </a:solidFill>
                        <a:prstDash val="solid"/>
                        <a:headEnd type="none" w="med" len="med"/>
                        <a:tailEnd type="none" w="med" len="med"/>
                      </a:ln>
                      <a:effectLst/>
                    </wps:spPr>
                    <wps:bodyPr/>
                  </wps:wsp>
                </a:graphicData>
              </a:graphic>
            </wp:anchor>
          </w:drawing>
        </mc:Choice>
        <mc:Fallback>
          <w:pict>
            <v:line id="Line 3" o:spid="_x0000_s1026" o:spt="20" style="position:absolute;left:0pt;margin-left:351pt;margin-top:34.7pt;height:0.05pt;width:144pt;z-index:251660288;mso-width-relative:page;mso-height-relative:page;" filled="f" stroked="t" coordsize="21600,21600" o:gfxdata="UEsDBAoAAAAAAIdO4kAAAAAAAAAAAAAAAAAEAAAAZHJzL1BLAwQUAAAACACHTuJARJMbt9YAAAAJ&#10;AQAADwAAAGRycy9kb3ducmV2LnhtbE2PwU7DMBBE70j8g7VI3KjdCApJ41QCxA2QCJV6dZMljojX&#10;wXba9O/ZnuC4s6OZN+VmdoM4YIi9Jw3LhQKB1Pi2p07D9vPl5gFETIZaM3hCDSeMsKkuL0pTtP5I&#10;H3ioUyc4hGJhNNiUxkLK2Fh0Ji78iMS/Lx+cSXyGTrbBHDncDTJTaiWd6YkbrBnxyWLzXU9OQ3Z6&#10;fn0P0849/tjZ1XV82waXa319tVRrEAnn9GeGMz6jQ8VMez9RG8Wg4V5lvCVpWOW3INiQ54qF/Vm4&#10;A1mV8v+C6hdQSwMEFAAAAAgAh07iQC5CS2jaAQAA3gMAAA4AAABkcnMvZTJvRG9jLnhtbK1TTW/b&#10;MAy9D9h/EHRf7KRrkRlxekjWXYotwLYfoEi0LUBfENU4+fejZC/ruksO80EmJeqR75HaPJ6tYSeI&#10;qL1r+XJRcwZOeqVd3/KfP54+rDnDJJwSxjto+QWQP27fv9uMoYGVH7xREBmBOGzG0PIhpdBUFcoB&#10;rMCFD+DosPPRikRu7CsVxUjo1lSrun6oRh9ViF4CIu3up0M+I8ZbAH3XaQl7L18suDShRjAiESUc&#10;dEC+LdV2Hcj0resQEjMtJ6aprJSE7GNeq+1GNH0UYdByLkHcUsIbTlZoR0mvUHuRBHuJ+h8oq2X0&#10;6Lu0kN5WE5GiCLFY1m+0+T6IAIULSY3hKjr+P1j59XSITKuWf+TMCUsNf9YO2F1WZgzYUMDOHeLs&#10;YTjETPPcRZv/RICdi5qXq5pwTkzS5nK9Wq9rElrS2cPdfUas/lwNEdMX8JZlo+WGshYFxekZ0xT6&#10;OyRnMo6NhPmpvs+Iggavo4aTaQMVj64vl9EbrZ60MfkKxv64M5GdBDV/t6vpm2v4Kyxn2Qscprhy&#10;lMNEM4BQn51i6RJIFkevgecaLCjODNDjyVaJTEKbWyKJvnEZGspozkSzzJOw2Tp6dSl6V9mjthfV&#10;5hHNc/XaJ/v1s9z+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STG7fWAAAACQEAAA8AAAAAAAAA&#10;AQAgAAAAIgAAAGRycy9kb3ducmV2LnhtbFBLAQIUABQAAAAIAIdO4kAuQkto2gEAAN4DAAAOAAAA&#10;AAAAAAEAIAAAACUBAABkcnMvZTJvRG9jLnhtbFBLBQYAAAAABgAGAFkBAABxBQAAAAA=&#10;">
              <v:fill on="f" focussize="0,0"/>
              <v:stroke weight="1.5pt" color="#CC0000"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4343400</wp:posOffset>
              </wp:positionH>
              <wp:positionV relativeFrom="paragraph">
                <wp:posOffset>341630</wp:posOffset>
              </wp:positionV>
              <wp:extent cx="1828800" cy="635"/>
              <wp:effectExtent l="0" t="0" r="0" b="18415"/>
              <wp:wrapNone/>
              <wp:docPr id="5" name="Line 4"/>
              <wp:cNvGraphicFramePr/>
              <a:graphic xmlns:a="http://schemas.openxmlformats.org/drawingml/2006/main">
                <a:graphicData uri="http://schemas.microsoft.com/office/word/2010/wordprocessingShape">
                  <wps:wsp>
                    <wps:cNvCnPr/>
                    <wps:spPr>
                      <a:xfrm>
                        <a:off x="0" y="0"/>
                        <a:ext cx="1828800" cy="635"/>
                      </a:xfrm>
                      <a:prstGeom prst="line">
                        <a:avLst/>
                      </a:prstGeom>
                      <a:ln w="15875" cap="flat" cmpd="sng">
                        <a:solidFill>
                          <a:srgbClr val="CC0000"/>
                        </a:solidFill>
                        <a:prstDash val="solid"/>
                        <a:headEnd type="none" w="med" len="med"/>
                        <a:tailEnd type="none" w="med" len="med"/>
                      </a:ln>
                      <a:effectLst/>
                    </wps:spPr>
                    <wps:bodyPr/>
                  </wps:wsp>
                </a:graphicData>
              </a:graphic>
            </wp:anchor>
          </w:drawing>
        </mc:Choice>
        <mc:Fallback>
          <w:pict>
            <v:line id="Line 4" o:spid="_x0000_s1026" o:spt="20" style="position:absolute;left:0pt;margin-left:342pt;margin-top:26.9pt;height:0.05pt;width:144pt;z-index:251661312;mso-width-relative:page;mso-height-relative:page;" filled="f" stroked="t" coordsize="21600,21600" o:gfxdata="UEsDBAoAAAAAAIdO4kAAAAAAAAAAAAAAAAAEAAAAZHJzL1BLAwQUAAAACACHTuJA5oKFsNoAAAAJ&#10;AQAADwAAAGRycy9kb3ducmV2LnhtbE2PS0/DMBCE70j8B2uRuFGngb5CnAohoUpIqKJFCG6b2MRR&#10;43Vkuw/49WxPcNzZ0cx85fLkenEwIXaeFIxHGQhDjdcdtQretk83cxAxIWnsPRkF3ybCsrq8KLHQ&#10;/kiv5rBJreAQigUqsCkNhZSxscZhHPnBEP++fHCY+Ayt1AGPHO56mWfZVDrsiBssDubRmma32TsF&#10;q239ibvnfP0wqYNdzX7cx/uLU+r6apzdg0jmlP7McJ7P06HiTbXfk46iVzCd3zFLUjC5ZQQ2LGY5&#10;C/VZWICsSvmfoPoFUEsDBBQAAAAIAIdO4kAkBdj/2wEAAN4DAAAOAAAAZHJzL2Uyb0RvYy54bWyt&#10;U01v2zAMvQ/YfxB0X+ykSxcYcXpI1l2KLcC6H6BIdCxAXxDVOPn3o2Qv7bpLDvNBJiXqke+RWj+c&#10;rWEniKi9a/l8VnMGTnql3bHlv54fP604wyScEsY7aPkFkD9sPn5YD6GBhe+9URAZgThshtDyPqXQ&#10;VBXKHqzAmQ/g6LDz0YpEbjxWKoqB0K2pFnV9Xw0+qhC9BETa3Y2HfEKMtwD6rtMSdl6+WHBpRI1g&#10;RCJK2OuAfFOq7TqQ6UfXISRmWk5MU1kpCdmHvFabtWiOUYRey6kEcUsJ7zhZoR0lvULtRBLsJep/&#10;oKyW0aPv0kx6W41EiiLEYl6/0+ZnLwIULiQ1hqvo+P9g5ffTPjKtWr7kzAlLDX/SDtjnrMwQsKGA&#10;rdvHycOwj5nmuYs2/4kAOxc1L1c14ZyYpM35arFa1SS0pLP7u2VGrF6vhojpG3jLstFyQ1mLguL0&#10;hGkM/ROSMxnHBsJcrr5QoVLQ4HXUcDJtoOLRHctl9EarR21MvoLxeNiayE6Cmr/d1vRNNfwVlrPs&#10;BPZjXDnKYaLpQaivTrF0CSSLo9fAcw0WFGcG6PFkq0Qmoc0tkUTfuAwNZTQnolnmUdhsHby6FL2r&#10;7FHbi2rTiOa5euuT/fZZb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5oKFsNoAAAAJAQAADwAA&#10;AAAAAAABACAAAAAiAAAAZHJzL2Rvd25yZXYueG1sUEsBAhQAFAAAAAgAh07iQCQF2P/bAQAA3gMA&#10;AA4AAAAAAAAAAQAgAAAAKQEAAGRycy9lMm9Eb2MueG1sUEsFBgAAAAAGAAYAWQEAAHYFAAAAAA==&#10;">
              <v:fill on="f" focussize="0,0"/>
              <v:stroke weight="1.25pt" color="#CC0000" joinstyle="round"/>
              <v:imagedata o:title=""/>
              <o:lock v:ext="edit" aspectratio="f"/>
            </v:line>
          </w:pict>
        </mc:Fallback>
      </mc:AlternateContent>
    </w:r>
  </w:p>
  <w:p w14:paraId="1E275D8E">
    <w:pPr>
      <w:pStyle w:val="57"/>
      <w:pBdr>
        <w:bottom w:val="none" w:color="auto" w:sz="0" w:space="0"/>
      </w:pBdr>
      <w:jc w:val="both"/>
    </w:pPr>
    <w:r>
      <mc:AlternateContent>
        <mc:Choice Requires="wps">
          <w:drawing>
            <wp:anchor distT="0" distB="0" distL="114300" distR="114300" simplePos="0" relativeHeight="251662336" behindDoc="0" locked="0" layoutInCell="1" allowOverlap="1">
              <wp:simplePos x="0" y="0"/>
              <wp:positionH relativeFrom="column">
                <wp:posOffset>-224155</wp:posOffset>
              </wp:positionH>
              <wp:positionV relativeFrom="page">
                <wp:posOffset>1080135</wp:posOffset>
              </wp:positionV>
              <wp:extent cx="6623685" cy="11430"/>
              <wp:effectExtent l="0" t="0" r="5715" b="7620"/>
              <wp:wrapNone/>
              <wp:docPr id="6" name="Line 1"/>
              <wp:cNvGraphicFramePr/>
              <a:graphic xmlns:a="http://schemas.openxmlformats.org/drawingml/2006/main">
                <a:graphicData uri="http://schemas.microsoft.com/office/word/2010/wordprocessingShape">
                  <wps:wsp>
                    <wps:cNvCnPr/>
                    <wps:spPr>
                      <a:xfrm>
                        <a:off x="0" y="0"/>
                        <a:ext cx="6623685" cy="11430"/>
                      </a:xfrm>
                      <a:prstGeom prst="line">
                        <a:avLst/>
                      </a:prstGeom>
                      <a:ln w="25400" cap="flat" cmpd="sng">
                        <a:solidFill>
                          <a:srgbClr val="CC0000"/>
                        </a:solidFill>
                        <a:prstDash val="solid"/>
                        <a:headEnd type="none" w="med" len="med"/>
                        <a:tailEnd type="none" w="med" len="med"/>
                      </a:ln>
                      <a:effectLst/>
                    </wps:spPr>
                    <wps:bodyPr/>
                  </wps:wsp>
                </a:graphicData>
              </a:graphic>
            </wp:anchor>
          </w:drawing>
        </mc:Choice>
        <mc:Fallback>
          <w:pict>
            <v:line id="Line 1" o:spid="_x0000_s1026" o:spt="20" style="position:absolute;left:0pt;margin-left:-17.65pt;margin-top:85.05pt;height:0.9pt;width:521.55pt;mso-position-vertical-relative:page;z-index:251662336;mso-width-relative:page;mso-height-relative:page;" filled="f" stroked="t" coordsize="21600,21600" o:gfxdata="UEsDBAoAAAAAAIdO4kAAAAAAAAAAAAAAAAAEAAAAZHJzL1BLAwQUAAAACACHTuJAPiCh/doAAAAM&#10;AQAADwAAAGRycy9kb3ducmV2LnhtbE2PwU7DMBBE70j8g7VIXFBrpxVNG+L0gFROCEHJgaObbOOo&#10;8TqK3abw9WxOcNyZp9mZfHt1nbjgEFpPGpK5AoFU+bqlRkP5uZutQYRoqDadJ9TwjQG2xe1NbrLa&#10;j/SBl31sBIdQyIwGG2OfSRkqi86Eue+R2Dv6wZnI59DIejAjh7tOLpRaSWda4g/W9PhssTrtz07D&#10;e/O2KK3dveLP14rW6UM5vlQnre/vEvUEIuI1/sEw1efqUHCngz9THUSnYbZ8XDLKRqoSEBOhVMpr&#10;DpOUbEAWufw/ovgFUEsDBBQAAAAIAIdO4kD2R+W84AEAAOADAAAOAAAAZHJzL2Uyb0RvYy54bWyt&#10;U01v2zAMvQ/YfxB0X+ykrVEYcXpI1l2KLcC2H6BIdCxAXxDVOPn3o2Qv67pLDvNBpiTyke+RWj+d&#10;rWEniKi96/hyUXMGTnql3bHjP388f3rkDJNwShjvoOMXQP60+fhhPYYWVn7wRkFkBOKwHUPHh5RC&#10;W1UoB7ACFz6Ao8veRysSbeOxUlGMhG5Ntarrphp9VCF6CYh0upsu+YwYbwH0fa8l7Lx8teDShBrB&#10;iESUcNAB+aZU2/cg07e+R0jMdJyYprJSErIPea02a9EeowiDlnMJ4pYS3nGyQjtKeoXaiSTYa9T/&#10;QFkto0ffp4X0tpqIFEWIxbJ+p833QQQoXEhqDFfR8f/Byq+nfWRadbzhzAlLDX/RDtgyKzMGbMlh&#10;6/Zx3mHYx0zz3Eeb/0SAnYual6uacE5M0mHTrO6axwfOJN0tl/d3Re3qT3CImL6AtywbHTeUt2go&#10;Ti+YKCG5/nbJuYxjY8dXD/c1NU8KGr2eWk6mDVQ+umMJRm+0etbG5BCMx8PWRHYS1P7ttqYv8yLg&#10;v9xylp3AYfIrV9NgDCDUZ6dYugQSxtF74LkGC4ozA/R8skWAok1Cm1s8KbVxOQDKcM5Es9CTtNk6&#10;eHUpild5R40vFc9Dmifr7Z7stw9z8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IKH92gAAAAwB&#10;AAAPAAAAAAAAAAEAIAAAACIAAABkcnMvZG93bnJldi54bWxQSwECFAAUAAAACACHTuJA9kflvOAB&#10;AADgAwAADgAAAAAAAAABACAAAAApAQAAZHJzL2Uyb0RvYy54bWxQSwUGAAAAAAYABgBZAQAAewUA&#10;AAAA&#10;">
              <v:fill on="f" focussize="0,0"/>
              <v:stroke weight="2pt" color="#CC0000" joinstyle="round"/>
              <v:imagedata o:title=""/>
              <o:lock v:ext="edit" aspectratio="f"/>
            </v:line>
          </w:pict>
        </mc:Fallback>
      </mc:AlternateContent>
    </w:r>
  </w:p>
  <w:p w14:paraId="4B21154D"/>
  <w:p w14:paraId="590C67AA"/>
  <w:p w14:paraId="6B819AFD"/>
  <w:p w14:paraId="3663557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DAC46">
    <w:pPr>
      <w:pStyle w:val="57"/>
    </w:pPr>
    <w:r>
      <w:rPr>
        <w:rFonts w:hint="eastAsia"/>
        <w:i/>
        <w:sz w:val="21"/>
      </w:rPr>
      <w:t>新世纪期货市场研发部</w:t>
    </w:r>
    <w:r>
      <w:rPr>
        <w:rFonts w:ascii="Times New Roman" w:hAnsi="Times New Roman"/>
        <w:i/>
        <w:sz w:val="21"/>
      </w:rPr>
      <w:t>http</w:t>
    </w:r>
    <w:r>
      <w:rPr>
        <w:rFonts w:ascii="Times New Roman"/>
        <w:i/>
        <w:sz w:val="21"/>
      </w:rPr>
      <w:t>：</w:t>
    </w:r>
    <w:r>
      <w:rPr>
        <w:rFonts w:ascii="Times New Roman" w:hAnsi="Times New Roman"/>
        <w:i/>
        <w:sz w:val="21"/>
      </w:rPr>
      <w:t>// www.zjncf.com.cn</w:t>
    </w:r>
  </w:p>
  <w:p w14:paraId="1E050172"/>
  <w:p w14:paraId="2F5AA96A"/>
  <w:p w14:paraId="38FB31A5"/>
  <w:p w14:paraId="0D3331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0MTJhYThhYjBkZWNiMzZhZDQ2Yjk1MzE4NGZjZWYifQ=="/>
  </w:docVars>
  <w:rsids>
    <w:rsidRoot w:val="00B16206"/>
    <w:rsid w:val="000007DE"/>
    <w:rsid w:val="000014AD"/>
    <w:rsid w:val="00001578"/>
    <w:rsid w:val="00001B84"/>
    <w:rsid w:val="00001F4A"/>
    <w:rsid w:val="00002F49"/>
    <w:rsid w:val="000032AB"/>
    <w:rsid w:val="00003A0C"/>
    <w:rsid w:val="00004311"/>
    <w:rsid w:val="00004594"/>
    <w:rsid w:val="000055D3"/>
    <w:rsid w:val="0000696A"/>
    <w:rsid w:val="00006C09"/>
    <w:rsid w:val="00007CB5"/>
    <w:rsid w:val="000105F7"/>
    <w:rsid w:val="00010610"/>
    <w:rsid w:val="00010961"/>
    <w:rsid w:val="0001284A"/>
    <w:rsid w:val="00012D2B"/>
    <w:rsid w:val="00014045"/>
    <w:rsid w:val="00014567"/>
    <w:rsid w:val="000148CD"/>
    <w:rsid w:val="00014D3F"/>
    <w:rsid w:val="00014E21"/>
    <w:rsid w:val="00014FDA"/>
    <w:rsid w:val="000151E2"/>
    <w:rsid w:val="000152EA"/>
    <w:rsid w:val="000157B5"/>
    <w:rsid w:val="000162D8"/>
    <w:rsid w:val="00016603"/>
    <w:rsid w:val="00016995"/>
    <w:rsid w:val="00016BE2"/>
    <w:rsid w:val="00016C70"/>
    <w:rsid w:val="00016E4A"/>
    <w:rsid w:val="00016F0C"/>
    <w:rsid w:val="000177BD"/>
    <w:rsid w:val="00017EC7"/>
    <w:rsid w:val="00021B4A"/>
    <w:rsid w:val="00021E93"/>
    <w:rsid w:val="00022146"/>
    <w:rsid w:val="000224C4"/>
    <w:rsid w:val="00022C36"/>
    <w:rsid w:val="0002344A"/>
    <w:rsid w:val="0002352F"/>
    <w:rsid w:val="00023886"/>
    <w:rsid w:val="000248A7"/>
    <w:rsid w:val="00025229"/>
    <w:rsid w:val="000262CA"/>
    <w:rsid w:val="00026AF9"/>
    <w:rsid w:val="00026E4C"/>
    <w:rsid w:val="000301E8"/>
    <w:rsid w:val="000304BD"/>
    <w:rsid w:val="00030CA9"/>
    <w:rsid w:val="000310AA"/>
    <w:rsid w:val="00031C98"/>
    <w:rsid w:val="00032320"/>
    <w:rsid w:val="0003281A"/>
    <w:rsid w:val="00032BA8"/>
    <w:rsid w:val="00032C25"/>
    <w:rsid w:val="00033C41"/>
    <w:rsid w:val="00033F3A"/>
    <w:rsid w:val="0003429C"/>
    <w:rsid w:val="00034581"/>
    <w:rsid w:val="000345C6"/>
    <w:rsid w:val="00034D07"/>
    <w:rsid w:val="00035458"/>
    <w:rsid w:val="00035D84"/>
    <w:rsid w:val="0003602B"/>
    <w:rsid w:val="00036AC4"/>
    <w:rsid w:val="00036BD6"/>
    <w:rsid w:val="00036FD3"/>
    <w:rsid w:val="000373BF"/>
    <w:rsid w:val="00037E58"/>
    <w:rsid w:val="00037F0D"/>
    <w:rsid w:val="000400BC"/>
    <w:rsid w:val="000406F0"/>
    <w:rsid w:val="0004078D"/>
    <w:rsid w:val="00040859"/>
    <w:rsid w:val="00040994"/>
    <w:rsid w:val="00040D5A"/>
    <w:rsid w:val="00041809"/>
    <w:rsid w:val="00041866"/>
    <w:rsid w:val="00041E8A"/>
    <w:rsid w:val="00041FC1"/>
    <w:rsid w:val="000425CE"/>
    <w:rsid w:val="0004279D"/>
    <w:rsid w:val="00042A73"/>
    <w:rsid w:val="00042D12"/>
    <w:rsid w:val="00042F32"/>
    <w:rsid w:val="00042F93"/>
    <w:rsid w:val="00043196"/>
    <w:rsid w:val="00043486"/>
    <w:rsid w:val="000442FD"/>
    <w:rsid w:val="00044BC0"/>
    <w:rsid w:val="00045C43"/>
    <w:rsid w:val="000466E2"/>
    <w:rsid w:val="00046850"/>
    <w:rsid w:val="00046ED2"/>
    <w:rsid w:val="00047789"/>
    <w:rsid w:val="00047876"/>
    <w:rsid w:val="00047966"/>
    <w:rsid w:val="00047E3B"/>
    <w:rsid w:val="000505CC"/>
    <w:rsid w:val="00050601"/>
    <w:rsid w:val="000525F0"/>
    <w:rsid w:val="00053463"/>
    <w:rsid w:val="000534AF"/>
    <w:rsid w:val="000541F2"/>
    <w:rsid w:val="00054520"/>
    <w:rsid w:val="00054826"/>
    <w:rsid w:val="000554FC"/>
    <w:rsid w:val="0005583B"/>
    <w:rsid w:val="000565D3"/>
    <w:rsid w:val="00056A17"/>
    <w:rsid w:val="00056D7C"/>
    <w:rsid w:val="000605E5"/>
    <w:rsid w:val="00060CD3"/>
    <w:rsid w:val="0006149F"/>
    <w:rsid w:val="00061E6A"/>
    <w:rsid w:val="00062139"/>
    <w:rsid w:val="00062191"/>
    <w:rsid w:val="00062326"/>
    <w:rsid w:val="00062941"/>
    <w:rsid w:val="00062A1B"/>
    <w:rsid w:val="00062C3B"/>
    <w:rsid w:val="00062CD3"/>
    <w:rsid w:val="00062D78"/>
    <w:rsid w:val="00063135"/>
    <w:rsid w:val="0006353C"/>
    <w:rsid w:val="00063A25"/>
    <w:rsid w:val="00064B37"/>
    <w:rsid w:val="00064E0A"/>
    <w:rsid w:val="00065206"/>
    <w:rsid w:val="00065F66"/>
    <w:rsid w:val="00065FCE"/>
    <w:rsid w:val="00066114"/>
    <w:rsid w:val="000663AD"/>
    <w:rsid w:val="0006669B"/>
    <w:rsid w:val="00067C6B"/>
    <w:rsid w:val="00067F09"/>
    <w:rsid w:val="0007041D"/>
    <w:rsid w:val="0007155D"/>
    <w:rsid w:val="00072481"/>
    <w:rsid w:val="00072621"/>
    <w:rsid w:val="0007262D"/>
    <w:rsid w:val="0007298A"/>
    <w:rsid w:val="00072BDC"/>
    <w:rsid w:val="000734AB"/>
    <w:rsid w:val="0007352D"/>
    <w:rsid w:val="00073BB0"/>
    <w:rsid w:val="000741E6"/>
    <w:rsid w:val="0007459E"/>
    <w:rsid w:val="00074839"/>
    <w:rsid w:val="00074CDA"/>
    <w:rsid w:val="00075119"/>
    <w:rsid w:val="00075387"/>
    <w:rsid w:val="000757ED"/>
    <w:rsid w:val="00076446"/>
    <w:rsid w:val="000768B0"/>
    <w:rsid w:val="000769CF"/>
    <w:rsid w:val="00076D69"/>
    <w:rsid w:val="00077B13"/>
    <w:rsid w:val="00077D26"/>
    <w:rsid w:val="00080618"/>
    <w:rsid w:val="000806E6"/>
    <w:rsid w:val="00080991"/>
    <w:rsid w:val="00081368"/>
    <w:rsid w:val="0008138A"/>
    <w:rsid w:val="00081F36"/>
    <w:rsid w:val="000820DA"/>
    <w:rsid w:val="00082176"/>
    <w:rsid w:val="000822E8"/>
    <w:rsid w:val="00082BD1"/>
    <w:rsid w:val="00082E1B"/>
    <w:rsid w:val="00082EF4"/>
    <w:rsid w:val="00083CE5"/>
    <w:rsid w:val="00084406"/>
    <w:rsid w:val="00084CE9"/>
    <w:rsid w:val="00084DF5"/>
    <w:rsid w:val="00085784"/>
    <w:rsid w:val="000858FA"/>
    <w:rsid w:val="00085936"/>
    <w:rsid w:val="00086087"/>
    <w:rsid w:val="0008641F"/>
    <w:rsid w:val="00087658"/>
    <w:rsid w:val="0008794C"/>
    <w:rsid w:val="00087AEE"/>
    <w:rsid w:val="00087BB9"/>
    <w:rsid w:val="00087D77"/>
    <w:rsid w:val="0009029F"/>
    <w:rsid w:val="000907C7"/>
    <w:rsid w:val="00090C4F"/>
    <w:rsid w:val="0009170A"/>
    <w:rsid w:val="00091B29"/>
    <w:rsid w:val="000926B7"/>
    <w:rsid w:val="0009324C"/>
    <w:rsid w:val="000936D1"/>
    <w:rsid w:val="00093856"/>
    <w:rsid w:val="00093D04"/>
    <w:rsid w:val="000943C8"/>
    <w:rsid w:val="000944C3"/>
    <w:rsid w:val="00094652"/>
    <w:rsid w:val="00094B61"/>
    <w:rsid w:val="00094D9B"/>
    <w:rsid w:val="00095E92"/>
    <w:rsid w:val="00096881"/>
    <w:rsid w:val="00096A01"/>
    <w:rsid w:val="00096CED"/>
    <w:rsid w:val="000970DA"/>
    <w:rsid w:val="00097BE5"/>
    <w:rsid w:val="00097D48"/>
    <w:rsid w:val="000A0EA3"/>
    <w:rsid w:val="000A0EBF"/>
    <w:rsid w:val="000A1241"/>
    <w:rsid w:val="000A1BF4"/>
    <w:rsid w:val="000A201F"/>
    <w:rsid w:val="000A2724"/>
    <w:rsid w:val="000A33E7"/>
    <w:rsid w:val="000A3412"/>
    <w:rsid w:val="000A35BB"/>
    <w:rsid w:val="000A4113"/>
    <w:rsid w:val="000A4DC1"/>
    <w:rsid w:val="000A5898"/>
    <w:rsid w:val="000A6324"/>
    <w:rsid w:val="000A6D18"/>
    <w:rsid w:val="000A71DA"/>
    <w:rsid w:val="000A73DA"/>
    <w:rsid w:val="000A7530"/>
    <w:rsid w:val="000A7743"/>
    <w:rsid w:val="000B059A"/>
    <w:rsid w:val="000B132D"/>
    <w:rsid w:val="000B17F6"/>
    <w:rsid w:val="000B1FE3"/>
    <w:rsid w:val="000B2560"/>
    <w:rsid w:val="000B389F"/>
    <w:rsid w:val="000B3EBB"/>
    <w:rsid w:val="000B4B2E"/>
    <w:rsid w:val="000B527C"/>
    <w:rsid w:val="000B5362"/>
    <w:rsid w:val="000B5766"/>
    <w:rsid w:val="000B57FB"/>
    <w:rsid w:val="000B5808"/>
    <w:rsid w:val="000B5CA5"/>
    <w:rsid w:val="000B65A1"/>
    <w:rsid w:val="000B686A"/>
    <w:rsid w:val="000B6D03"/>
    <w:rsid w:val="000B7359"/>
    <w:rsid w:val="000B74C9"/>
    <w:rsid w:val="000C08DB"/>
    <w:rsid w:val="000C095F"/>
    <w:rsid w:val="000C0DAC"/>
    <w:rsid w:val="000C0F76"/>
    <w:rsid w:val="000C16AE"/>
    <w:rsid w:val="000C188D"/>
    <w:rsid w:val="000C1D84"/>
    <w:rsid w:val="000C234A"/>
    <w:rsid w:val="000C30E2"/>
    <w:rsid w:val="000C34D3"/>
    <w:rsid w:val="000C3A55"/>
    <w:rsid w:val="000C3AAB"/>
    <w:rsid w:val="000C3C60"/>
    <w:rsid w:val="000C571A"/>
    <w:rsid w:val="000C57BB"/>
    <w:rsid w:val="000C584A"/>
    <w:rsid w:val="000C5A72"/>
    <w:rsid w:val="000C5AF4"/>
    <w:rsid w:val="000C5D55"/>
    <w:rsid w:val="000C62C1"/>
    <w:rsid w:val="000C694B"/>
    <w:rsid w:val="000C7364"/>
    <w:rsid w:val="000C7A0D"/>
    <w:rsid w:val="000C7A90"/>
    <w:rsid w:val="000D01DF"/>
    <w:rsid w:val="000D03D7"/>
    <w:rsid w:val="000D063F"/>
    <w:rsid w:val="000D0BD1"/>
    <w:rsid w:val="000D0BDD"/>
    <w:rsid w:val="000D11E3"/>
    <w:rsid w:val="000D15C1"/>
    <w:rsid w:val="000D1679"/>
    <w:rsid w:val="000D16CC"/>
    <w:rsid w:val="000D2270"/>
    <w:rsid w:val="000D29A4"/>
    <w:rsid w:val="000D3C5F"/>
    <w:rsid w:val="000D47D2"/>
    <w:rsid w:val="000D4C32"/>
    <w:rsid w:val="000D5673"/>
    <w:rsid w:val="000D576C"/>
    <w:rsid w:val="000D5F2D"/>
    <w:rsid w:val="000D5F35"/>
    <w:rsid w:val="000D64FE"/>
    <w:rsid w:val="000D67DB"/>
    <w:rsid w:val="000D77C0"/>
    <w:rsid w:val="000D7CF9"/>
    <w:rsid w:val="000D7DA0"/>
    <w:rsid w:val="000E0185"/>
    <w:rsid w:val="000E0951"/>
    <w:rsid w:val="000E09AD"/>
    <w:rsid w:val="000E0B74"/>
    <w:rsid w:val="000E1090"/>
    <w:rsid w:val="000E1640"/>
    <w:rsid w:val="000E1798"/>
    <w:rsid w:val="000E1A8E"/>
    <w:rsid w:val="000E1BD5"/>
    <w:rsid w:val="000E273D"/>
    <w:rsid w:val="000E299E"/>
    <w:rsid w:val="000E3129"/>
    <w:rsid w:val="000E321F"/>
    <w:rsid w:val="000E3C4A"/>
    <w:rsid w:val="000E448A"/>
    <w:rsid w:val="000E46AA"/>
    <w:rsid w:val="000E4972"/>
    <w:rsid w:val="000E49FD"/>
    <w:rsid w:val="000E4BF5"/>
    <w:rsid w:val="000E4ED2"/>
    <w:rsid w:val="000E585C"/>
    <w:rsid w:val="000E5C01"/>
    <w:rsid w:val="000E6EE4"/>
    <w:rsid w:val="000E7825"/>
    <w:rsid w:val="000F001D"/>
    <w:rsid w:val="000F0DAC"/>
    <w:rsid w:val="000F1627"/>
    <w:rsid w:val="000F1937"/>
    <w:rsid w:val="000F1A1E"/>
    <w:rsid w:val="000F1A68"/>
    <w:rsid w:val="000F2E28"/>
    <w:rsid w:val="000F2F4A"/>
    <w:rsid w:val="000F3677"/>
    <w:rsid w:val="000F36CA"/>
    <w:rsid w:val="000F39AD"/>
    <w:rsid w:val="000F3B3C"/>
    <w:rsid w:val="000F4B79"/>
    <w:rsid w:val="000F5655"/>
    <w:rsid w:val="000F58CB"/>
    <w:rsid w:val="000F5FA1"/>
    <w:rsid w:val="000F6104"/>
    <w:rsid w:val="000F6139"/>
    <w:rsid w:val="000F6479"/>
    <w:rsid w:val="000F7A77"/>
    <w:rsid w:val="000F7B23"/>
    <w:rsid w:val="000F7C0E"/>
    <w:rsid w:val="00100142"/>
    <w:rsid w:val="001003DD"/>
    <w:rsid w:val="00100969"/>
    <w:rsid w:val="00100D18"/>
    <w:rsid w:val="00101026"/>
    <w:rsid w:val="0010137E"/>
    <w:rsid w:val="00101F1D"/>
    <w:rsid w:val="001023E9"/>
    <w:rsid w:val="001025A5"/>
    <w:rsid w:val="00102645"/>
    <w:rsid w:val="00103B24"/>
    <w:rsid w:val="00103CB5"/>
    <w:rsid w:val="00103CD4"/>
    <w:rsid w:val="001042E5"/>
    <w:rsid w:val="00104535"/>
    <w:rsid w:val="00104F4D"/>
    <w:rsid w:val="00105581"/>
    <w:rsid w:val="00105CBD"/>
    <w:rsid w:val="00106321"/>
    <w:rsid w:val="001065BD"/>
    <w:rsid w:val="001066E9"/>
    <w:rsid w:val="00106E25"/>
    <w:rsid w:val="00107604"/>
    <w:rsid w:val="00107FFC"/>
    <w:rsid w:val="001104B7"/>
    <w:rsid w:val="00110A98"/>
    <w:rsid w:val="00111FF6"/>
    <w:rsid w:val="0011268B"/>
    <w:rsid w:val="00112CAD"/>
    <w:rsid w:val="00112E2C"/>
    <w:rsid w:val="00113026"/>
    <w:rsid w:val="00113167"/>
    <w:rsid w:val="00113CFE"/>
    <w:rsid w:val="00113DD7"/>
    <w:rsid w:val="0011438E"/>
    <w:rsid w:val="001147BC"/>
    <w:rsid w:val="00114823"/>
    <w:rsid w:val="00115832"/>
    <w:rsid w:val="001159C1"/>
    <w:rsid w:val="00115A51"/>
    <w:rsid w:val="0011660C"/>
    <w:rsid w:val="001169E7"/>
    <w:rsid w:val="00116A2B"/>
    <w:rsid w:val="00116B1F"/>
    <w:rsid w:val="00116FE1"/>
    <w:rsid w:val="0011701D"/>
    <w:rsid w:val="00117433"/>
    <w:rsid w:val="001179D1"/>
    <w:rsid w:val="00117CDD"/>
    <w:rsid w:val="001202D1"/>
    <w:rsid w:val="0012037C"/>
    <w:rsid w:val="0012108D"/>
    <w:rsid w:val="001213C3"/>
    <w:rsid w:val="00121967"/>
    <w:rsid w:val="00121A73"/>
    <w:rsid w:val="00122620"/>
    <w:rsid w:val="00122625"/>
    <w:rsid w:val="0012274E"/>
    <w:rsid w:val="00122853"/>
    <w:rsid w:val="00122D15"/>
    <w:rsid w:val="0012318F"/>
    <w:rsid w:val="001234EE"/>
    <w:rsid w:val="001237E4"/>
    <w:rsid w:val="00123AD7"/>
    <w:rsid w:val="00123FDD"/>
    <w:rsid w:val="00124B53"/>
    <w:rsid w:val="00124D52"/>
    <w:rsid w:val="00125FAD"/>
    <w:rsid w:val="0012604C"/>
    <w:rsid w:val="001262DB"/>
    <w:rsid w:val="00126772"/>
    <w:rsid w:val="001269E7"/>
    <w:rsid w:val="00126A7B"/>
    <w:rsid w:val="00126E7C"/>
    <w:rsid w:val="00127273"/>
    <w:rsid w:val="001303D9"/>
    <w:rsid w:val="001324EA"/>
    <w:rsid w:val="00132C2F"/>
    <w:rsid w:val="001331A2"/>
    <w:rsid w:val="001334B0"/>
    <w:rsid w:val="00133C77"/>
    <w:rsid w:val="00133FF6"/>
    <w:rsid w:val="00134064"/>
    <w:rsid w:val="00134630"/>
    <w:rsid w:val="0013519A"/>
    <w:rsid w:val="00135788"/>
    <w:rsid w:val="00135AC7"/>
    <w:rsid w:val="00135D81"/>
    <w:rsid w:val="00136C13"/>
    <w:rsid w:val="001375D5"/>
    <w:rsid w:val="00137845"/>
    <w:rsid w:val="00137870"/>
    <w:rsid w:val="001379D9"/>
    <w:rsid w:val="00137AE5"/>
    <w:rsid w:val="001437FB"/>
    <w:rsid w:val="00143951"/>
    <w:rsid w:val="00143AA4"/>
    <w:rsid w:val="00143C87"/>
    <w:rsid w:val="00143E87"/>
    <w:rsid w:val="001442CB"/>
    <w:rsid w:val="00145E2A"/>
    <w:rsid w:val="00146A1F"/>
    <w:rsid w:val="001477A8"/>
    <w:rsid w:val="00150848"/>
    <w:rsid w:val="00150AC9"/>
    <w:rsid w:val="00151B7C"/>
    <w:rsid w:val="00151C46"/>
    <w:rsid w:val="00152A2C"/>
    <w:rsid w:val="00152A8E"/>
    <w:rsid w:val="00152C97"/>
    <w:rsid w:val="00153190"/>
    <w:rsid w:val="001531D3"/>
    <w:rsid w:val="00153786"/>
    <w:rsid w:val="00153C4E"/>
    <w:rsid w:val="00153EBF"/>
    <w:rsid w:val="001545E6"/>
    <w:rsid w:val="001548A4"/>
    <w:rsid w:val="00155D9A"/>
    <w:rsid w:val="00156BAE"/>
    <w:rsid w:val="0015772D"/>
    <w:rsid w:val="00157BF3"/>
    <w:rsid w:val="0016188E"/>
    <w:rsid w:val="0016196C"/>
    <w:rsid w:val="001619E3"/>
    <w:rsid w:val="00161B24"/>
    <w:rsid w:val="00161CBE"/>
    <w:rsid w:val="00162524"/>
    <w:rsid w:val="00163A50"/>
    <w:rsid w:val="00163ACA"/>
    <w:rsid w:val="001644DF"/>
    <w:rsid w:val="00164951"/>
    <w:rsid w:val="001654AC"/>
    <w:rsid w:val="00165892"/>
    <w:rsid w:val="00165C77"/>
    <w:rsid w:val="0016601F"/>
    <w:rsid w:val="00166052"/>
    <w:rsid w:val="001663DC"/>
    <w:rsid w:val="00167087"/>
    <w:rsid w:val="001671C4"/>
    <w:rsid w:val="00167487"/>
    <w:rsid w:val="00167657"/>
    <w:rsid w:val="0017043F"/>
    <w:rsid w:val="0017060D"/>
    <w:rsid w:val="0017078B"/>
    <w:rsid w:val="00170BC0"/>
    <w:rsid w:val="00171054"/>
    <w:rsid w:val="001714D5"/>
    <w:rsid w:val="001715CC"/>
    <w:rsid w:val="001717A3"/>
    <w:rsid w:val="00171902"/>
    <w:rsid w:val="00171D62"/>
    <w:rsid w:val="00171EC1"/>
    <w:rsid w:val="00171F40"/>
    <w:rsid w:val="00172245"/>
    <w:rsid w:val="001722CC"/>
    <w:rsid w:val="00172553"/>
    <w:rsid w:val="00172A27"/>
    <w:rsid w:val="00172B10"/>
    <w:rsid w:val="00172D0E"/>
    <w:rsid w:val="001732F3"/>
    <w:rsid w:val="00173368"/>
    <w:rsid w:val="00173952"/>
    <w:rsid w:val="001748FC"/>
    <w:rsid w:val="00175812"/>
    <w:rsid w:val="00175B19"/>
    <w:rsid w:val="001767E4"/>
    <w:rsid w:val="00176816"/>
    <w:rsid w:val="00176AE0"/>
    <w:rsid w:val="00176D9E"/>
    <w:rsid w:val="001770A2"/>
    <w:rsid w:val="0017784E"/>
    <w:rsid w:val="00177BB1"/>
    <w:rsid w:val="00177C2F"/>
    <w:rsid w:val="001804D5"/>
    <w:rsid w:val="0018054E"/>
    <w:rsid w:val="001806BA"/>
    <w:rsid w:val="00180D66"/>
    <w:rsid w:val="00181300"/>
    <w:rsid w:val="001817B2"/>
    <w:rsid w:val="00181B67"/>
    <w:rsid w:val="00181C45"/>
    <w:rsid w:val="00182076"/>
    <w:rsid w:val="00182203"/>
    <w:rsid w:val="001822F7"/>
    <w:rsid w:val="0018271B"/>
    <w:rsid w:val="001827EC"/>
    <w:rsid w:val="00182A2D"/>
    <w:rsid w:val="001835EC"/>
    <w:rsid w:val="00183634"/>
    <w:rsid w:val="0018365A"/>
    <w:rsid w:val="00183DFF"/>
    <w:rsid w:val="00183E89"/>
    <w:rsid w:val="0018435A"/>
    <w:rsid w:val="0018484E"/>
    <w:rsid w:val="001852F7"/>
    <w:rsid w:val="001853D9"/>
    <w:rsid w:val="00185749"/>
    <w:rsid w:val="001859FD"/>
    <w:rsid w:val="00185C6D"/>
    <w:rsid w:val="001863A8"/>
    <w:rsid w:val="00186FCF"/>
    <w:rsid w:val="0018752E"/>
    <w:rsid w:val="00187D12"/>
    <w:rsid w:val="00187EB2"/>
    <w:rsid w:val="00190EFE"/>
    <w:rsid w:val="00191800"/>
    <w:rsid w:val="00191839"/>
    <w:rsid w:val="001919F0"/>
    <w:rsid w:val="00191C04"/>
    <w:rsid w:val="001921C3"/>
    <w:rsid w:val="00192730"/>
    <w:rsid w:val="00192D58"/>
    <w:rsid w:val="00193117"/>
    <w:rsid w:val="00193775"/>
    <w:rsid w:val="00193E78"/>
    <w:rsid w:val="001943B5"/>
    <w:rsid w:val="001943C3"/>
    <w:rsid w:val="0019471C"/>
    <w:rsid w:val="0019472A"/>
    <w:rsid w:val="00194DB5"/>
    <w:rsid w:val="00195DD3"/>
    <w:rsid w:val="00195ED0"/>
    <w:rsid w:val="00195F26"/>
    <w:rsid w:val="00195FFD"/>
    <w:rsid w:val="001966EA"/>
    <w:rsid w:val="001966F6"/>
    <w:rsid w:val="0019679A"/>
    <w:rsid w:val="00196ACE"/>
    <w:rsid w:val="001977E1"/>
    <w:rsid w:val="00197B14"/>
    <w:rsid w:val="001A0B63"/>
    <w:rsid w:val="001A0D36"/>
    <w:rsid w:val="001A1DA7"/>
    <w:rsid w:val="001A2C80"/>
    <w:rsid w:val="001A2DAB"/>
    <w:rsid w:val="001A3D40"/>
    <w:rsid w:val="001A3DE1"/>
    <w:rsid w:val="001A3F97"/>
    <w:rsid w:val="001A414D"/>
    <w:rsid w:val="001A4463"/>
    <w:rsid w:val="001A57CB"/>
    <w:rsid w:val="001A5D24"/>
    <w:rsid w:val="001A5EFC"/>
    <w:rsid w:val="001A6121"/>
    <w:rsid w:val="001A6474"/>
    <w:rsid w:val="001A6BFB"/>
    <w:rsid w:val="001A703F"/>
    <w:rsid w:val="001A75B1"/>
    <w:rsid w:val="001A7DE1"/>
    <w:rsid w:val="001B0026"/>
    <w:rsid w:val="001B080B"/>
    <w:rsid w:val="001B0862"/>
    <w:rsid w:val="001B0B98"/>
    <w:rsid w:val="001B0C37"/>
    <w:rsid w:val="001B0CB3"/>
    <w:rsid w:val="001B134D"/>
    <w:rsid w:val="001B13F7"/>
    <w:rsid w:val="001B15DF"/>
    <w:rsid w:val="001B1B7C"/>
    <w:rsid w:val="001B23A3"/>
    <w:rsid w:val="001B25B2"/>
    <w:rsid w:val="001B284B"/>
    <w:rsid w:val="001B3832"/>
    <w:rsid w:val="001B42AB"/>
    <w:rsid w:val="001B4605"/>
    <w:rsid w:val="001B488A"/>
    <w:rsid w:val="001B4D86"/>
    <w:rsid w:val="001B52ED"/>
    <w:rsid w:val="001B594D"/>
    <w:rsid w:val="001B5F77"/>
    <w:rsid w:val="001B5F87"/>
    <w:rsid w:val="001B63A7"/>
    <w:rsid w:val="001B6FC6"/>
    <w:rsid w:val="001B748E"/>
    <w:rsid w:val="001C018B"/>
    <w:rsid w:val="001C025C"/>
    <w:rsid w:val="001C0347"/>
    <w:rsid w:val="001C0361"/>
    <w:rsid w:val="001C1477"/>
    <w:rsid w:val="001C14E4"/>
    <w:rsid w:val="001C1DAC"/>
    <w:rsid w:val="001C21F3"/>
    <w:rsid w:val="001C2A7F"/>
    <w:rsid w:val="001C361E"/>
    <w:rsid w:val="001C38C2"/>
    <w:rsid w:val="001C3D1B"/>
    <w:rsid w:val="001C4A42"/>
    <w:rsid w:val="001C4DC8"/>
    <w:rsid w:val="001C4EEC"/>
    <w:rsid w:val="001C597F"/>
    <w:rsid w:val="001C5B26"/>
    <w:rsid w:val="001C5FED"/>
    <w:rsid w:val="001C6815"/>
    <w:rsid w:val="001C76BA"/>
    <w:rsid w:val="001D04F3"/>
    <w:rsid w:val="001D053E"/>
    <w:rsid w:val="001D11E5"/>
    <w:rsid w:val="001D13EB"/>
    <w:rsid w:val="001D2B47"/>
    <w:rsid w:val="001D2BF9"/>
    <w:rsid w:val="001D37BD"/>
    <w:rsid w:val="001D388F"/>
    <w:rsid w:val="001D3FDF"/>
    <w:rsid w:val="001D4D20"/>
    <w:rsid w:val="001D559C"/>
    <w:rsid w:val="001D5EBD"/>
    <w:rsid w:val="001D6664"/>
    <w:rsid w:val="001D7441"/>
    <w:rsid w:val="001D7829"/>
    <w:rsid w:val="001D7D83"/>
    <w:rsid w:val="001E03B5"/>
    <w:rsid w:val="001E0435"/>
    <w:rsid w:val="001E08B2"/>
    <w:rsid w:val="001E08C8"/>
    <w:rsid w:val="001E09A7"/>
    <w:rsid w:val="001E0D0D"/>
    <w:rsid w:val="001E0E1A"/>
    <w:rsid w:val="001E1C43"/>
    <w:rsid w:val="001E1CBB"/>
    <w:rsid w:val="001E1CCB"/>
    <w:rsid w:val="001E1D79"/>
    <w:rsid w:val="001E1F79"/>
    <w:rsid w:val="001E2005"/>
    <w:rsid w:val="001E2158"/>
    <w:rsid w:val="001E2720"/>
    <w:rsid w:val="001E2A39"/>
    <w:rsid w:val="001E2C1F"/>
    <w:rsid w:val="001E3998"/>
    <w:rsid w:val="001E3E21"/>
    <w:rsid w:val="001E45DC"/>
    <w:rsid w:val="001E4BCC"/>
    <w:rsid w:val="001E5C12"/>
    <w:rsid w:val="001E5C44"/>
    <w:rsid w:val="001E5DAE"/>
    <w:rsid w:val="001E62D4"/>
    <w:rsid w:val="001E6386"/>
    <w:rsid w:val="001E651A"/>
    <w:rsid w:val="001E655E"/>
    <w:rsid w:val="001E6B37"/>
    <w:rsid w:val="001E6E7D"/>
    <w:rsid w:val="001E716E"/>
    <w:rsid w:val="001E732A"/>
    <w:rsid w:val="001F03EC"/>
    <w:rsid w:val="001F0D52"/>
    <w:rsid w:val="001F0F60"/>
    <w:rsid w:val="001F1675"/>
    <w:rsid w:val="001F2865"/>
    <w:rsid w:val="001F2C3F"/>
    <w:rsid w:val="001F2E59"/>
    <w:rsid w:val="001F3415"/>
    <w:rsid w:val="001F3BDB"/>
    <w:rsid w:val="001F41B2"/>
    <w:rsid w:val="001F4986"/>
    <w:rsid w:val="001F4DF9"/>
    <w:rsid w:val="001F4E34"/>
    <w:rsid w:val="001F50BD"/>
    <w:rsid w:val="001F5439"/>
    <w:rsid w:val="001F571C"/>
    <w:rsid w:val="001F57E5"/>
    <w:rsid w:val="001F5844"/>
    <w:rsid w:val="001F585E"/>
    <w:rsid w:val="001F59E0"/>
    <w:rsid w:val="001F5B46"/>
    <w:rsid w:val="001F5B9A"/>
    <w:rsid w:val="001F5CAD"/>
    <w:rsid w:val="001F5D78"/>
    <w:rsid w:val="001F5FEF"/>
    <w:rsid w:val="001F666D"/>
    <w:rsid w:val="001F667F"/>
    <w:rsid w:val="001F683D"/>
    <w:rsid w:val="001F6DFD"/>
    <w:rsid w:val="001F6FF2"/>
    <w:rsid w:val="001F7638"/>
    <w:rsid w:val="0020041D"/>
    <w:rsid w:val="002006B5"/>
    <w:rsid w:val="00200790"/>
    <w:rsid w:val="002016D3"/>
    <w:rsid w:val="00201821"/>
    <w:rsid w:val="00201D24"/>
    <w:rsid w:val="0020227A"/>
    <w:rsid w:val="00202AC3"/>
    <w:rsid w:val="00202C9C"/>
    <w:rsid w:val="00202E97"/>
    <w:rsid w:val="002035C3"/>
    <w:rsid w:val="00203837"/>
    <w:rsid w:val="00203EA7"/>
    <w:rsid w:val="002043B6"/>
    <w:rsid w:val="00204D97"/>
    <w:rsid w:val="00205030"/>
    <w:rsid w:val="00205AA4"/>
    <w:rsid w:val="00205C9D"/>
    <w:rsid w:val="00206616"/>
    <w:rsid w:val="002074CC"/>
    <w:rsid w:val="00207789"/>
    <w:rsid w:val="0020792B"/>
    <w:rsid w:val="00207E4E"/>
    <w:rsid w:val="00210564"/>
    <w:rsid w:val="00210AE6"/>
    <w:rsid w:val="002111AA"/>
    <w:rsid w:val="0021130C"/>
    <w:rsid w:val="00211818"/>
    <w:rsid w:val="00211833"/>
    <w:rsid w:val="002118BB"/>
    <w:rsid w:val="002119FA"/>
    <w:rsid w:val="00211A89"/>
    <w:rsid w:val="00211F1D"/>
    <w:rsid w:val="002128DE"/>
    <w:rsid w:val="00212ACA"/>
    <w:rsid w:val="00212C13"/>
    <w:rsid w:val="00212D33"/>
    <w:rsid w:val="002130E5"/>
    <w:rsid w:val="00213159"/>
    <w:rsid w:val="0021358A"/>
    <w:rsid w:val="0021391A"/>
    <w:rsid w:val="002139F5"/>
    <w:rsid w:val="00214121"/>
    <w:rsid w:val="0021518F"/>
    <w:rsid w:val="00215705"/>
    <w:rsid w:val="00215874"/>
    <w:rsid w:val="00215E6B"/>
    <w:rsid w:val="002160B3"/>
    <w:rsid w:val="0021631B"/>
    <w:rsid w:val="00216643"/>
    <w:rsid w:val="002166FA"/>
    <w:rsid w:val="002168F5"/>
    <w:rsid w:val="00216E1E"/>
    <w:rsid w:val="00216EB0"/>
    <w:rsid w:val="00217110"/>
    <w:rsid w:val="00217748"/>
    <w:rsid w:val="002207FD"/>
    <w:rsid w:val="002211B6"/>
    <w:rsid w:val="00221C12"/>
    <w:rsid w:val="00221CD8"/>
    <w:rsid w:val="00221D46"/>
    <w:rsid w:val="0022202C"/>
    <w:rsid w:val="00222267"/>
    <w:rsid w:val="00222A65"/>
    <w:rsid w:val="00222C77"/>
    <w:rsid w:val="00222E1F"/>
    <w:rsid w:val="002235E3"/>
    <w:rsid w:val="00223AB6"/>
    <w:rsid w:val="0022461C"/>
    <w:rsid w:val="0022490F"/>
    <w:rsid w:val="00224A39"/>
    <w:rsid w:val="00224BA8"/>
    <w:rsid w:val="00224D2F"/>
    <w:rsid w:val="00224E30"/>
    <w:rsid w:val="00224E6C"/>
    <w:rsid w:val="0022541A"/>
    <w:rsid w:val="00225447"/>
    <w:rsid w:val="00225819"/>
    <w:rsid w:val="00227533"/>
    <w:rsid w:val="0022783B"/>
    <w:rsid w:val="00227994"/>
    <w:rsid w:val="002306CE"/>
    <w:rsid w:val="0023095D"/>
    <w:rsid w:val="00230DD9"/>
    <w:rsid w:val="00231D4C"/>
    <w:rsid w:val="00233064"/>
    <w:rsid w:val="00233142"/>
    <w:rsid w:val="002334F1"/>
    <w:rsid w:val="00233675"/>
    <w:rsid w:val="00233C14"/>
    <w:rsid w:val="00234E80"/>
    <w:rsid w:val="002354E4"/>
    <w:rsid w:val="0023552E"/>
    <w:rsid w:val="00235F13"/>
    <w:rsid w:val="0023629C"/>
    <w:rsid w:val="002363FC"/>
    <w:rsid w:val="00236807"/>
    <w:rsid w:val="00236A66"/>
    <w:rsid w:val="00236FFF"/>
    <w:rsid w:val="00237272"/>
    <w:rsid w:val="00237475"/>
    <w:rsid w:val="0023755D"/>
    <w:rsid w:val="002376D7"/>
    <w:rsid w:val="0023783C"/>
    <w:rsid w:val="00237B12"/>
    <w:rsid w:val="00237F4D"/>
    <w:rsid w:val="00240045"/>
    <w:rsid w:val="002409D3"/>
    <w:rsid w:val="00241787"/>
    <w:rsid w:val="00242675"/>
    <w:rsid w:val="00242CB5"/>
    <w:rsid w:val="00243CA3"/>
    <w:rsid w:val="00243DD8"/>
    <w:rsid w:val="00243ECD"/>
    <w:rsid w:val="00243F35"/>
    <w:rsid w:val="002447C3"/>
    <w:rsid w:val="00244DF2"/>
    <w:rsid w:val="00245097"/>
    <w:rsid w:val="002450B0"/>
    <w:rsid w:val="002455B1"/>
    <w:rsid w:val="00245CAB"/>
    <w:rsid w:val="00246071"/>
    <w:rsid w:val="00246651"/>
    <w:rsid w:val="00246664"/>
    <w:rsid w:val="00246B16"/>
    <w:rsid w:val="00246F70"/>
    <w:rsid w:val="00247B98"/>
    <w:rsid w:val="00247C38"/>
    <w:rsid w:val="00247C39"/>
    <w:rsid w:val="00250A68"/>
    <w:rsid w:val="00250C1A"/>
    <w:rsid w:val="00250C95"/>
    <w:rsid w:val="002523B5"/>
    <w:rsid w:val="00252713"/>
    <w:rsid w:val="0025299E"/>
    <w:rsid w:val="00252D57"/>
    <w:rsid w:val="002531B2"/>
    <w:rsid w:val="002533D7"/>
    <w:rsid w:val="002534E3"/>
    <w:rsid w:val="00253D06"/>
    <w:rsid w:val="00253F7F"/>
    <w:rsid w:val="00254537"/>
    <w:rsid w:val="00254A6E"/>
    <w:rsid w:val="00254AE7"/>
    <w:rsid w:val="002556B3"/>
    <w:rsid w:val="00255E20"/>
    <w:rsid w:val="002562E3"/>
    <w:rsid w:val="00256365"/>
    <w:rsid w:val="002564B6"/>
    <w:rsid w:val="002567B7"/>
    <w:rsid w:val="00257329"/>
    <w:rsid w:val="00257332"/>
    <w:rsid w:val="0025794A"/>
    <w:rsid w:val="0026006C"/>
    <w:rsid w:val="0026029A"/>
    <w:rsid w:val="00260C0E"/>
    <w:rsid w:val="00261150"/>
    <w:rsid w:val="00261AA3"/>
    <w:rsid w:val="002625D8"/>
    <w:rsid w:val="0026279D"/>
    <w:rsid w:val="00262807"/>
    <w:rsid w:val="00263BB4"/>
    <w:rsid w:val="002641AE"/>
    <w:rsid w:val="002649A0"/>
    <w:rsid w:val="00264FE8"/>
    <w:rsid w:val="002659B3"/>
    <w:rsid w:val="00267076"/>
    <w:rsid w:val="00267809"/>
    <w:rsid w:val="00267A8A"/>
    <w:rsid w:val="0027055E"/>
    <w:rsid w:val="00271475"/>
    <w:rsid w:val="00271476"/>
    <w:rsid w:val="00271518"/>
    <w:rsid w:val="00271BDD"/>
    <w:rsid w:val="00271C48"/>
    <w:rsid w:val="00271F75"/>
    <w:rsid w:val="00272075"/>
    <w:rsid w:val="0027227A"/>
    <w:rsid w:val="00273166"/>
    <w:rsid w:val="00273AB7"/>
    <w:rsid w:val="00273ACC"/>
    <w:rsid w:val="002743AD"/>
    <w:rsid w:val="002748AD"/>
    <w:rsid w:val="00275CF0"/>
    <w:rsid w:val="002766CF"/>
    <w:rsid w:val="002767BA"/>
    <w:rsid w:val="00276A8F"/>
    <w:rsid w:val="00276BC2"/>
    <w:rsid w:val="00276E38"/>
    <w:rsid w:val="00280BB4"/>
    <w:rsid w:val="00280E46"/>
    <w:rsid w:val="00280EF7"/>
    <w:rsid w:val="0028132E"/>
    <w:rsid w:val="002813F5"/>
    <w:rsid w:val="0028177B"/>
    <w:rsid w:val="00282220"/>
    <w:rsid w:val="00282424"/>
    <w:rsid w:val="0028279F"/>
    <w:rsid w:val="002827DA"/>
    <w:rsid w:val="00282BFA"/>
    <w:rsid w:val="002836E4"/>
    <w:rsid w:val="00283BF0"/>
    <w:rsid w:val="00283E37"/>
    <w:rsid w:val="00283FBD"/>
    <w:rsid w:val="00284098"/>
    <w:rsid w:val="0028421F"/>
    <w:rsid w:val="0028430E"/>
    <w:rsid w:val="00285A11"/>
    <w:rsid w:val="00285D26"/>
    <w:rsid w:val="00285D43"/>
    <w:rsid w:val="00285D52"/>
    <w:rsid w:val="0028603A"/>
    <w:rsid w:val="002865E4"/>
    <w:rsid w:val="00286C89"/>
    <w:rsid w:val="00286CA4"/>
    <w:rsid w:val="00290365"/>
    <w:rsid w:val="00290507"/>
    <w:rsid w:val="002907F0"/>
    <w:rsid w:val="00290AA2"/>
    <w:rsid w:val="00290C9D"/>
    <w:rsid w:val="002916BD"/>
    <w:rsid w:val="00291E1A"/>
    <w:rsid w:val="0029209F"/>
    <w:rsid w:val="00292C58"/>
    <w:rsid w:val="00292CFC"/>
    <w:rsid w:val="002937F9"/>
    <w:rsid w:val="00293DCC"/>
    <w:rsid w:val="00293E23"/>
    <w:rsid w:val="00294CDB"/>
    <w:rsid w:val="00295430"/>
    <w:rsid w:val="00296EDB"/>
    <w:rsid w:val="00296F89"/>
    <w:rsid w:val="0029779F"/>
    <w:rsid w:val="00297DEC"/>
    <w:rsid w:val="002A0662"/>
    <w:rsid w:val="002A11E2"/>
    <w:rsid w:val="002A17D0"/>
    <w:rsid w:val="002A1B9A"/>
    <w:rsid w:val="002A1D4E"/>
    <w:rsid w:val="002A22C0"/>
    <w:rsid w:val="002A2405"/>
    <w:rsid w:val="002A274F"/>
    <w:rsid w:val="002A3106"/>
    <w:rsid w:val="002A356B"/>
    <w:rsid w:val="002A39D2"/>
    <w:rsid w:val="002A3EBD"/>
    <w:rsid w:val="002A42DD"/>
    <w:rsid w:val="002A4310"/>
    <w:rsid w:val="002A4994"/>
    <w:rsid w:val="002A49D3"/>
    <w:rsid w:val="002A57B7"/>
    <w:rsid w:val="002A632D"/>
    <w:rsid w:val="002A6657"/>
    <w:rsid w:val="002A6970"/>
    <w:rsid w:val="002A6D49"/>
    <w:rsid w:val="002A6E56"/>
    <w:rsid w:val="002A7335"/>
    <w:rsid w:val="002A74C1"/>
    <w:rsid w:val="002A75F5"/>
    <w:rsid w:val="002B00FC"/>
    <w:rsid w:val="002B0229"/>
    <w:rsid w:val="002B0BD8"/>
    <w:rsid w:val="002B1875"/>
    <w:rsid w:val="002B229B"/>
    <w:rsid w:val="002B38C3"/>
    <w:rsid w:val="002B38F5"/>
    <w:rsid w:val="002B4983"/>
    <w:rsid w:val="002B4B80"/>
    <w:rsid w:val="002B54FA"/>
    <w:rsid w:val="002B599A"/>
    <w:rsid w:val="002B5B81"/>
    <w:rsid w:val="002B607C"/>
    <w:rsid w:val="002B6396"/>
    <w:rsid w:val="002B6AB8"/>
    <w:rsid w:val="002B6E35"/>
    <w:rsid w:val="002B7505"/>
    <w:rsid w:val="002B798B"/>
    <w:rsid w:val="002B7CA7"/>
    <w:rsid w:val="002C08DE"/>
    <w:rsid w:val="002C0AC9"/>
    <w:rsid w:val="002C0B1E"/>
    <w:rsid w:val="002C0D81"/>
    <w:rsid w:val="002C173C"/>
    <w:rsid w:val="002C1B1E"/>
    <w:rsid w:val="002C1DEA"/>
    <w:rsid w:val="002C26FC"/>
    <w:rsid w:val="002C2C10"/>
    <w:rsid w:val="002C3AA5"/>
    <w:rsid w:val="002C4ACD"/>
    <w:rsid w:val="002C4D18"/>
    <w:rsid w:val="002C4E52"/>
    <w:rsid w:val="002C54FF"/>
    <w:rsid w:val="002C594B"/>
    <w:rsid w:val="002C5B56"/>
    <w:rsid w:val="002C6497"/>
    <w:rsid w:val="002C666A"/>
    <w:rsid w:val="002C7590"/>
    <w:rsid w:val="002C78D8"/>
    <w:rsid w:val="002C793B"/>
    <w:rsid w:val="002D01E7"/>
    <w:rsid w:val="002D03DF"/>
    <w:rsid w:val="002D12D1"/>
    <w:rsid w:val="002D135C"/>
    <w:rsid w:val="002D13A4"/>
    <w:rsid w:val="002D1742"/>
    <w:rsid w:val="002D1E20"/>
    <w:rsid w:val="002D2A8D"/>
    <w:rsid w:val="002D2ECB"/>
    <w:rsid w:val="002D48AB"/>
    <w:rsid w:val="002D48B6"/>
    <w:rsid w:val="002D4AFD"/>
    <w:rsid w:val="002D54D2"/>
    <w:rsid w:val="002D54DE"/>
    <w:rsid w:val="002D574E"/>
    <w:rsid w:val="002D59AC"/>
    <w:rsid w:val="002D5CC9"/>
    <w:rsid w:val="002D5DC6"/>
    <w:rsid w:val="002D5DD0"/>
    <w:rsid w:val="002D5FE0"/>
    <w:rsid w:val="002D61C8"/>
    <w:rsid w:val="002D63C5"/>
    <w:rsid w:val="002D63F0"/>
    <w:rsid w:val="002D6423"/>
    <w:rsid w:val="002D65E2"/>
    <w:rsid w:val="002D67A4"/>
    <w:rsid w:val="002D6A6E"/>
    <w:rsid w:val="002D6C54"/>
    <w:rsid w:val="002D781E"/>
    <w:rsid w:val="002D7BFC"/>
    <w:rsid w:val="002E034D"/>
    <w:rsid w:val="002E035D"/>
    <w:rsid w:val="002E0527"/>
    <w:rsid w:val="002E22A3"/>
    <w:rsid w:val="002E2EC3"/>
    <w:rsid w:val="002E2F2C"/>
    <w:rsid w:val="002E3601"/>
    <w:rsid w:val="002E3926"/>
    <w:rsid w:val="002E477C"/>
    <w:rsid w:val="002E4825"/>
    <w:rsid w:val="002E4FB8"/>
    <w:rsid w:val="002E6021"/>
    <w:rsid w:val="002E64A2"/>
    <w:rsid w:val="002E6B88"/>
    <w:rsid w:val="002E7062"/>
    <w:rsid w:val="002E7BB9"/>
    <w:rsid w:val="002F009E"/>
    <w:rsid w:val="002F00D3"/>
    <w:rsid w:val="002F0A62"/>
    <w:rsid w:val="002F1382"/>
    <w:rsid w:val="002F13AD"/>
    <w:rsid w:val="002F23BB"/>
    <w:rsid w:val="002F29F2"/>
    <w:rsid w:val="002F2AE0"/>
    <w:rsid w:val="002F2B3C"/>
    <w:rsid w:val="002F35C7"/>
    <w:rsid w:val="002F3A93"/>
    <w:rsid w:val="002F3D4E"/>
    <w:rsid w:val="002F3DE4"/>
    <w:rsid w:val="002F4092"/>
    <w:rsid w:val="002F4557"/>
    <w:rsid w:val="002F4C6D"/>
    <w:rsid w:val="002F564C"/>
    <w:rsid w:val="002F5A88"/>
    <w:rsid w:val="002F5BBB"/>
    <w:rsid w:val="002F678E"/>
    <w:rsid w:val="002F69E2"/>
    <w:rsid w:val="002F6E10"/>
    <w:rsid w:val="002F7478"/>
    <w:rsid w:val="002F78D1"/>
    <w:rsid w:val="0030009B"/>
    <w:rsid w:val="003001FE"/>
    <w:rsid w:val="0030071B"/>
    <w:rsid w:val="00300740"/>
    <w:rsid w:val="00300932"/>
    <w:rsid w:val="00301039"/>
    <w:rsid w:val="00301447"/>
    <w:rsid w:val="003017C3"/>
    <w:rsid w:val="003019D1"/>
    <w:rsid w:val="00302716"/>
    <w:rsid w:val="00302E18"/>
    <w:rsid w:val="00302FA5"/>
    <w:rsid w:val="003039E1"/>
    <w:rsid w:val="00303A48"/>
    <w:rsid w:val="00303F9C"/>
    <w:rsid w:val="003042AD"/>
    <w:rsid w:val="003045F6"/>
    <w:rsid w:val="00305553"/>
    <w:rsid w:val="00305D9A"/>
    <w:rsid w:val="00306533"/>
    <w:rsid w:val="00306680"/>
    <w:rsid w:val="00306AF8"/>
    <w:rsid w:val="003074D5"/>
    <w:rsid w:val="003077DA"/>
    <w:rsid w:val="003077F6"/>
    <w:rsid w:val="00307AEE"/>
    <w:rsid w:val="003103E9"/>
    <w:rsid w:val="00311987"/>
    <w:rsid w:val="00312560"/>
    <w:rsid w:val="003126A8"/>
    <w:rsid w:val="00313DB3"/>
    <w:rsid w:val="00314B1E"/>
    <w:rsid w:val="00314B59"/>
    <w:rsid w:val="00315014"/>
    <w:rsid w:val="003150D0"/>
    <w:rsid w:val="00315259"/>
    <w:rsid w:val="00315DF0"/>
    <w:rsid w:val="003162DF"/>
    <w:rsid w:val="003163E2"/>
    <w:rsid w:val="0031688B"/>
    <w:rsid w:val="00316B63"/>
    <w:rsid w:val="00316C34"/>
    <w:rsid w:val="0031772C"/>
    <w:rsid w:val="00321054"/>
    <w:rsid w:val="00322D39"/>
    <w:rsid w:val="003230B9"/>
    <w:rsid w:val="00323AAD"/>
    <w:rsid w:val="003241F2"/>
    <w:rsid w:val="00324297"/>
    <w:rsid w:val="00324485"/>
    <w:rsid w:val="003244DF"/>
    <w:rsid w:val="003247EA"/>
    <w:rsid w:val="0032494E"/>
    <w:rsid w:val="0032497B"/>
    <w:rsid w:val="00324A6B"/>
    <w:rsid w:val="003252F7"/>
    <w:rsid w:val="00325955"/>
    <w:rsid w:val="00325C61"/>
    <w:rsid w:val="00325C9D"/>
    <w:rsid w:val="003260E0"/>
    <w:rsid w:val="003261BA"/>
    <w:rsid w:val="003264FB"/>
    <w:rsid w:val="00326735"/>
    <w:rsid w:val="003276DD"/>
    <w:rsid w:val="00327750"/>
    <w:rsid w:val="003278AA"/>
    <w:rsid w:val="00330167"/>
    <w:rsid w:val="00330178"/>
    <w:rsid w:val="003307F8"/>
    <w:rsid w:val="00330879"/>
    <w:rsid w:val="00330D23"/>
    <w:rsid w:val="00330FE3"/>
    <w:rsid w:val="00331425"/>
    <w:rsid w:val="0033167D"/>
    <w:rsid w:val="0033241A"/>
    <w:rsid w:val="003329ED"/>
    <w:rsid w:val="00332B4E"/>
    <w:rsid w:val="00332E0B"/>
    <w:rsid w:val="0033336F"/>
    <w:rsid w:val="0033339B"/>
    <w:rsid w:val="003339C5"/>
    <w:rsid w:val="003339EF"/>
    <w:rsid w:val="003341C1"/>
    <w:rsid w:val="0033457A"/>
    <w:rsid w:val="003378D8"/>
    <w:rsid w:val="00340504"/>
    <w:rsid w:val="00340CA3"/>
    <w:rsid w:val="00340F7C"/>
    <w:rsid w:val="003410F8"/>
    <w:rsid w:val="00341156"/>
    <w:rsid w:val="003417A7"/>
    <w:rsid w:val="00342335"/>
    <w:rsid w:val="00342724"/>
    <w:rsid w:val="003432EC"/>
    <w:rsid w:val="00343439"/>
    <w:rsid w:val="00343A6E"/>
    <w:rsid w:val="00343B9A"/>
    <w:rsid w:val="00344250"/>
    <w:rsid w:val="00344277"/>
    <w:rsid w:val="0034432C"/>
    <w:rsid w:val="00344391"/>
    <w:rsid w:val="00345114"/>
    <w:rsid w:val="00346586"/>
    <w:rsid w:val="00346B53"/>
    <w:rsid w:val="00346FBD"/>
    <w:rsid w:val="003471B7"/>
    <w:rsid w:val="00347321"/>
    <w:rsid w:val="00347F78"/>
    <w:rsid w:val="003500D0"/>
    <w:rsid w:val="003500F5"/>
    <w:rsid w:val="00350967"/>
    <w:rsid w:val="00350A91"/>
    <w:rsid w:val="00350EF7"/>
    <w:rsid w:val="00350FDB"/>
    <w:rsid w:val="0035210B"/>
    <w:rsid w:val="00352129"/>
    <w:rsid w:val="0035291D"/>
    <w:rsid w:val="00352954"/>
    <w:rsid w:val="00352964"/>
    <w:rsid w:val="00353599"/>
    <w:rsid w:val="00353BE8"/>
    <w:rsid w:val="003545D5"/>
    <w:rsid w:val="00354717"/>
    <w:rsid w:val="003548EA"/>
    <w:rsid w:val="00354918"/>
    <w:rsid w:val="00354A69"/>
    <w:rsid w:val="00355175"/>
    <w:rsid w:val="00355474"/>
    <w:rsid w:val="00355675"/>
    <w:rsid w:val="003558A6"/>
    <w:rsid w:val="00355D92"/>
    <w:rsid w:val="00356B3E"/>
    <w:rsid w:val="00357C21"/>
    <w:rsid w:val="00360D35"/>
    <w:rsid w:val="00361063"/>
    <w:rsid w:val="00361440"/>
    <w:rsid w:val="003614FA"/>
    <w:rsid w:val="0036164B"/>
    <w:rsid w:val="003629B1"/>
    <w:rsid w:val="00362F5F"/>
    <w:rsid w:val="003636E5"/>
    <w:rsid w:val="003637C7"/>
    <w:rsid w:val="0036386C"/>
    <w:rsid w:val="0036473F"/>
    <w:rsid w:val="00365288"/>
    <w:rsid w:val="003659B1"/>
    <w:rsid w:val="00365B0F"/>
    <w:rsid w:val="00365CD6"/>
    <w:rsid w:val="00365EF6"/>
    <w:rsid w:val="003663C8"/>
    <w:rsid w:val="003665CB"/>
    <w:rsid w:val="00366BDA"/>
    <w:rsid w:val="003672B8"/>
    <w:rsid w:val="00367784"/>
    <w:rsid w:val="0036778A"/>
    <w:rsid w:val="003677FD"/>
    <w:rsid w:val="00367BE1"/>
    <w:rsid w:val="00367CCF"/>
    <w:rsid w:val="00367ECC"/>
    <w:rsid w:val="0037075D"/>
    <w:rsid w:val="0037080F"/>
    <w:rsid w:val="00371228"/>
    <w:rsid w:val="003717F3"/>
    <w:rsid w:val="00371A1D"/>
    <w:rsid w:val="00371BF2"/>
    <w:rsid w:val="00372278"/>
    <w:rsid w:val="0037270E"/>
    <w:rsid w:val="00372B49"/>
    <w:rsid w:val="003734E6"/>
    <w:rsid w:val="00373BFD"/>
    <w:rsid w:val="00374078"/>
    <w:rsid w:val="003745C5"/>
    <w:rsid w:val="00374BB7"/>
    <w:rsid w:val="00374ED9"/>
    <w:rsid w:val="00374EF1"/>
    <w:rsid w:val="0037547B"/>
    <w:rsid w:val="0037562A"/>
    <w:rsid w:val="00375AF7"/>
    <w:rsid w:val="00375B0F"/>
    <w:rsid w:val="00375C03"/>
    <w:rsid w:val="00375CF4"/>
    <w:rsid w:val="0037630E"/>
    <w:rsid w:val="00376714"/>
    <w:rsid w:val="003769DE"/>
    <w:rsid w:val="003775EE"/>
    <w:rsid w:val="00380118"/>
    <w:rsid w:val="0038030C"/>
    <w:rsid w:val="0038052F"/>
    <w:rsid w:val="00380626"/>
    <w:rsid w:val="0038098E"/>
    <w:rsid w:val="0038202B"/>
    <w:rsid w:val="00382B81"/>
    <w:rsid w:val="00382D11"/>
    <w:rsid w:val="00383023"/>
    <w:rsid w:val="003831CB"/>
    <w:rsid w:val="00383326"/>
    <w:rsid w:val="003835B1"/>
    <w:rsid w:val="0038571B"/>
    <w:rsid w:val="003859B7"/>
    <w:rsid w:val="00385AE2"/>
    <w:rsid w:val="00385C55"/>
    <w:rsid w:val="003860FB"/>
    <w:rsid w:val="00386C2C"/>
    <w:rsid w:val="00386EAF"/>
    <w:rsid w:val="00390A1D"/>
    <w:rsid w:val="003911E6"/>
    <w:rsid w:val="00391679"/>
    <w:rsid w:val="0039198F"/>
    <w:rsid w:val="00391E5E"/>
    <w:rsid w:val="00392BAA"/>
    <w:rsid w:val="0039315D"/>
    <w:rsid w:val="00393622"/>
    <w:rsid w:val="003939FA"/>
    <w:rsid w:val="00393A16"/>
    <w:rsid w:val="00394116"/>
    <w:rsid w:val="003951B9"/>
    <w:rsid w:val="00395213"/>
    <w:rsid w:val="00395AE4"/>
    <w:rsid w:val="00396004"/>
    <w:rsid w:val="0039619B"/>
    <w:rsid w:val="003972E6"/>
    <w:rsid w:val="00397540"/>
    <w:rsid w:val="00397866"/>
    <w:rsid w:val="00397898"/>
    <w:rsid w:val="00397A0D"/>
    <w:rsid w:val="00397C35"/>
    <w:rsid w:val="00397E51"/>
    <w:rsid w:val="003A013F"/>
    <w:rsid w:val="003A0268"/>
    <w:rsid w:val="003A0882"/>
    <w:rsid w:val="003A1027"/>
    <w:rsid w:val="003A17E9"/>
    <w:rsid w:val="003A19D7"/>
    <w:rsid w:val="003A2EE0"/>
    <w:rsid w:val="003A3113"/>
    <w:rsid w:val="003A3378"/>
    <w:rsid w:val="003A360C"/>
    <w:rsid w:val="003A3BEF"/>
    <w:rsid w:val="003A3E04"/>
    <w:rsid w:val="003A453D"/>
    <w:rsid w:val="003A4741"/>
    <w:rsid w:val="003A52F1"/>
    <w:rsid w:val="003A5668"/>
    <w:rsid w:val="003A5905"/>
    <w:rsid w:val="003A59D1"/>
    <w:rsid w:val="003A5B22"/>
    <w:rsid w:val="003A6091"/>
    <w:rsid w:val="003A64B0"/>
    <w:rsid w:val="003A686F"/>
    <w:rsid w:val="003A690A"/>
    <w:rsid w:val="003B0153"/>
    <w:rsid w:val="003B0234"/>
    <w:rsid w:val="003B097D"/>
    <w:rsid w:val="003B1349"/>
    <w:rsid w:val="003B177F"/>
    <w:rsid w:val="003B1AEA"/>
    <w:rsid w:val="003B24AE"/>
    <w:rsid w:val="003B2622"/>
    <w:rsid w:val="003B266E"/>
    <w:rsid w:val="003B352E"/>
    <w:rsid w:val="003B383F"/>
    <w:rsid w:val="003B39C1"/>
    <w:rsid w:val="003B3F8B"/>
    <w:rsid w:val="003B41A1"/>
    <w:rsid w:val="003B4C9E"/>
    <w:rsid w:val="003B52CD"/>
    <w:rsid w:val="003B5711"/>
    <w:rsid w:val="003B5FAE"/>
    <w:rsid w:val="003B6097"/>
    <w:rsid w:val="003B753B"/>
    <w:rsid w:val="003B7B39"/>
    <w:rsid w:val="003C0556"/>
    <w:rsid w:val="003C0839"/>
    <w:rsid w:val="003C0F51"/>
    <w:rsid w:val="003C11B6"/>
    <w:rsid w:val="003C126A"/>
    <w:rsid w:val="003C16D6"/>
    <w:rsid w:val="003C1C5A"/>
    <w:rsid w:val="003C1C71"/>
    <w:rsid w:val="003C2398"/>
    <w:rsid w:val="003C330B"/>
    <w:rsid w:val="003C33F8"/>
    <w:rsid w:val="003C36C7"/>
    <w:rsid w:val="003C3D3E"/>
    <w:rsid w:val="003C4820"/>
    <w:rsid w:val="003C532F"/>
    <w:rsid w:val="003C5C4C"/>
    <w:rsid w:val="003C632E"/>
    <w:rsid w:val="003C6437"/>
    <w:rsid w:val="003C68A3"/>
    <w:rsid w:val="003C6B1F"/>
    <w:rsid w:val="003C7A78"/>
    <w:rsid w:val="003D0054"/>
    <w:rsid w:val="003D0975"/>
    <w:rsid w:val="003D0AA1"/>
    <w:rsid w:val="003D0F68"/>
    <w:rsid w:val="003D1171"/>
    <w:rsid w:val="003D1C0E"/>
    <w:rsid w:val="003D1CFA"/>
    <w:rsid w:val="003D1E8C"/>
    <w:rsid w:val="003D21EA"/>
    <w:rsid w:val="003D2A20"/>
    <w:rsid w:val="003D2FFA"/>
    <w:rsid w:val="003D4497"/>
    <w:rsid w:val="003D4542"/>
    <w:rsid w:val="003D4BEB"/>
    <w:rsid w:val="003D4CA7"/>
    <w:rsid w:val="003D4E48"/>
    <w:rsid w:val="003D51B0"/>
    <w:rsid w:val="003D522D"/>
    <w:rsid w:val="003D5CDF"/>
    <w:rsid w:val="003D6098"/>
    <w:rsid w:val="003D67C3"/>
    <w:rsid w:val="003D6827"/>
    <w:rsid w:val="003D77D8"/>
    <w:rsid w:val="003D7FE3"/>
    <w:rsid w:val="003E01D0"/>
    <w:rsid w:val="003E04C8"/>
    <w:rsid w:val="003E0F2E"/>
    <w:rsid w:val="003E2420"/>
    <w:rsid w:val="003E330B"/>
    <w:rsid w:val="003E355B"/>
    <w:rsid w:val="003E378B"/>
    <w:rsid w:val="003E461C"/>
    <w:rsid w:val="003E58FF"/>
    <w:rsid w:val="003E5B9B"/>
    <w:rsid w:val="003E5CA8"/>
    <w:rsid w:val="003E5F22"/>
    <w:rsid w:val="003E5F55"/>
    <w:rsid w:val="003E6324"/>
    <w:rsid w:val="003E6CB9"/>
    <w:rsid w:val="003E735F"/>
    <w:rsid w:val="003E790C"/>
    <w:rsid w:val="003E7AB2"/>
    <w:rsid w:val="003E7F24"/>
    <w:rsid w:val="003F04A1"/>
    <w:rsid w:val="003F08E6"/>
    <w:rsid w:val="003F09E0"/>
    <w:rsid w:val="003F0AAE"/>
    <w:rsid w:val="003F0AE9"/>
    <w:rsid w:val="003F0ED7"/>
    <w:rsid w:val="003F17D9"/>
    <w:rsid w:val="003F1C58"/>
    <w:rsid w:val="003F34B2"/>
    <w:rsid w:val="003F39F2"/>
    <w:rsid w:val="003F40D7"/>
    <w:rsid w:val="003F4188"/>
    <w:rsid w:val="003F4676"/>
    <w:rsid w:val="003F4986"/>
    <w:rsid w:val="003F55D8"/>
    <w:rsid w:val="003F59EB"/>
    <w:rsid w:val="003F5FE4"/>
    <w:rsid w:val="003F62C6"/>
    <w:rsid w:val="003F764A"/>
    <w:rsid w:val="003F777C"/>
    <w:rsid w:val="003F7BA1"/>
    <w:rsid w:val="0040076F"/>
    <w:rsid w:val="00401496"/>
    <w:rsid w:val="004017D4"/>
    <w:rsid w:val="00401D38"/>
    <w:rsid w:val="00402109"/>
    <w:rsid w:val="00402303"/>
    <w:rsid w:val="0040241C"/>
    <w:rsid w:val="004025D6"/>
    <w:rsid w:val="0040291D"/>
    <w:rsid w:val="00402B14"/>
    <w:rsid w:val="00402C4E"/>
    <w:rsid w:val="00403252"/>
    <w:rsid w:val="00403BF8"/>
    <w:rsid w:val="004041B4"/>
    <w:rsid w:val="00404706"/>
    <w:rsid w:val="00404C7B"/>
    <w:rsid w:val="00404FEF"/>
    <w:rsid w:val="00405721"/>
    <w:rsid w:val="0040615B"/>
    <w:rsid w:val="00406357"/>
    <w:rsid w:val="00406A3B"/>
    <w:rsid w:val="004075F9"/>
    <w:rsid w:val="00407958"/>
    <w:rsid w:val="0040799E"/>
    <w:rsid w:val="0041008E"/>
    <w:rsid w:val="004107DE"/>
    <w:rsid w:val="00412247"/>
    <w:rsid w:val="00412499"/>
    <w:rsid w:val="00414142"/>
    <w:rsid w:val="00414417"/>
    <w:rsid w:val="004148D6"/>
    <w:rsid w:val="00414A65"/>
    <w:rsid w:val="00414B2E"/>
    <w:rsid w:val="00414C4B"/>
    <w:rsid w:val="0041528A"/>
    <w:rsid w:val="00415DC6"/>
    <w:rsid w:val="00416374"/>
    <w:rsid w:val="00416433"/>
    <w:rsid w:val="00416483"/>
    <w:rsid w:val="00416541"/>
    <w:rsid w:val="004167F7"/>
    <w:rsid w:val="00416918"/>
    <w:rsid w:val="004169D1"/>
    <w:rsid w:val="004172EB"/>
    <w:rsid w:val="00417C68"/>
    <w:rsid w:val="00417FBC"/>
    <w:rsid w:val="00420E86"/>
    <w:rsid w:val="00420F12"/>
    <w:rsid w:val="00421A98"/>
    <w:rsid w:val="00421B43"/>
    <w:rsid w:val="00421F4C"/>
    <w:rsid w:val="00422593"/>
    <w:rsid w:val="00422680"/>
    <w:rsid w:val="00422A21"/>
    <w:rsid w:val="00422A46"/>
    <w:rsid w:val="004231B2"/>
    <w:rsid w:val="00423757"/>
    <w:rsid w:val="00423C9F"/>
    <w:rsid w:val="00423DDA"/>
    <w:rsid w:val="00423F7E"/>
    <w:rsid w:val="0042491D"/>
    <w:rsid w:val="00424922"/>
    <w:rsid w:val="00424DBE"/>
    <w:rsid w:val="00425096"/>
    <w:rsid w:val="00425220"/>
    <w:rsid w:val="00425233"/>
    <w:rsid w:val="00425465"/>
    <w:rsid w:val="00425697"/>
    <w:rsid w:val="00425D13"/>
    <w:rsid w:val="0042608E"/>
    <w:rsid w:val="004262F2"/>
    <w:rsid w:val="004263E2"/>
    <w:rsid w:val="00426684"/>
    <w:rsid w:val="00426CF0"/>
    <w:rsid w:val="00426F42"/>
    <w:rsid w:val="004273E2"/>
    <w:rsid w:val="00427464"/>
    <w:rsid w:val="00427509"/>
    <w:rsid w:val="0043080E"/>
    <w:rsid w:val="00430A61"/>
    <w:rsid w:val="00430DCF"/>
    <w:rsid w:val="00431150"/>
    <w:rsid w:val="004313BE"/>
    <w:rsid w:val="00431720"/>
    <w:rsid w:val="00431B1A"/>
    <w:rsid w:val="00431B7D"/>
    <w:rsid w:val="00432BC1"/>
    <w:rsid w:val="00433EB1"/>
    <w:rsid w:val="004341A0"/>
    <w:rsid w:val="004342EE"/>
    <w:rsid w:val="00434DF2"/>
    <w:rsid w:val="004351C7"/>
    <w:rsid w:val="00435F10"/>
    <w:rsid w:val="00436E32"/>
    <w:rsid w:val="0043790E"/>
    <w:rsid w:val="00437D09"/>
    <w:rsid w:val="00437D40"/>
    <w:rsid w:val="00437E1D"/>
    <w:rsid w:val="00440542"/>
    <w:rsid w:val="00440FB7"/>
    <w:rsid w:val="00440FD7"/>
    <w:rsid w:val="00441A69"/>
    <w:rsid w:val="004424C9"/>
    <w:rsid w:val="00442899"/>
    <w:rsid w:val="00442950"/>
    <w:rsid w:val="00443203"/>
    <w:rsid w:val="00443280"/>
    <w:rsid w:val="00443AC8"/>
    <w:rsid w:val="00443C0F"/>
    <w:rsid w:val="00443C42"/>
    <w:rsid w:val="00443F69"/>
    <w:rsid w:val="0044405D"/>
    <w:rsid w:val="004441DC"/>
    <w:rsid w:val="004443A6"/>
    <w:rsid w:val="004445D9"/>
    <w:rsid w:val="0044538D"/>
    <w:rsid w:val="00445509"/>
    <w:rsid w:val="0044553B"/>
    <w:rsid w:val="004468FE"/>
    <w:rsid w:val="00446B4E"/>
    <w:rsid w:val="00446D81"/>
    <w:rsid w:val="00447E3F"/>
    <w:rsid w:val="00450551"/>
    <w:rsid w:val="0045071E"/>
    <w:rsid w:val="00450999"/>
    <w:rsid w:val="00450A34"/>
    <w:rsid w:val="00450A49"/>
    <w:rsid w:val="00450AE0"/>
    <w:rsid w:val="00450D06"/>
    <w:rsid w:val="00451266"/>
    <w:rsid w:val="00451AE8"/>
    <w:rsid w:val="00451DDB"/>
    <w:rsid w:val="00452690"/>
    <w:rsid w:val="00453373"/>
    <w:rsid w:val="0045367D"/>
    <w:rsid w:val="00453A73"/>
    <w:rsid w:val="00453EAA"/>
    <w:rsid w:val="004547EE"/>
    <w:rsid w:val="00454D14"/>
    <w:rsid w:val="00454DCD"/>
    <w:rsid w:val="00455519"/>
    <w:rsid w:val="004555A1"/>
    <w:rsid w:val="00455EE7"/>
    <w:rsid w:val="00456BA0"/>
    <w:rsid w:val="0045751C"/>
    <w:rsid w:val="00457954"/>
    <w:rsid w:val="004601D9"/>
    <w:rsid w:val="004602B8"/>
    <w:rsid w:val="00460351"/>
    <w:rsid w:val="00460957"/>
    <w:rsid w:val="00460E77"/>
    <w:rsid w:val="0046110C"/>
    <w:rsid w:val="00461891"/>
    <w:rsid w:val="00462109"/>
    <w:rsid w:val="00462B64"/>
    <w:rsid w:val="00462C40"/>
    <w:rsid w:val="00463469"/>
    <w:rsid w:val="00463971"/>
    <w:rsid w:val="00463A19"/>
    <w:rsid w:val="00463AD9"/>
    <w:rsid w:val="00463BB6"/>
    <w:rsid w:val="00463C7C"/>
    <w:rsid w:val="00463EA8"/>
    <w:rsid w:val="004645DD"/>
    <w:rsid w:val="00464609"/>
    <w:rsid w:val="00464668"/>
    <w:rsid w:val="00465BBA"/>
    <w:rsid w:val="004662D6"/>
    <w:rsid w:val="004664D3"/>
    <w:rsid w:val="00466657"/>
    <w:rsid w:val="004669F3"/>
    <w:rsid w:val="00466A26"/>
    <w:rsid w:val="00466AAB"/>
    <w:rsid w:val="00466CF2"/>
    <w:rsid w:val="00466DAD"/>
    <w:rsid w:val="00467261"/>
    <w:rsid w:val="004674CD"/>
    <w:rsid w:val="004677DF"/>
    <w:rsid w:val="00467C81"/>
    <w:rsid w:val="004709C9"/>
    <w:rsid w:val="00470D1D"/>
    <w:rsid w:val="00470DB6"/>
    <w:rsid w:val="004718E6"/>
    <w:rsid w:val="00471D70"/>
    <w:rsid w:val="00472156"/>
    <w:rsid w:val="0047271E"/>
    <w:rsid w:val="0047300F"/>
    <w:rsid w:val="00473125"/>
    <w:rsid w:val="00473826"/>
    <w:rsid w:val="00473A95"/>
    <w:rsid w:val="00473F1F"/>
    <w:rsid w:val="0047497F"/>
    <w:rsid w:val="004749B0"/>
    <w:rsid w:val="004753DB"/>
    <w:rsid w:val="004768BB"/>
    <w:rsid w:val="0047771F"/>
    <w:rsid w:val="004777CC"/>
    <w:rsid w:val="00477BEB"/>
    <w:rsid w:val="0048068D"/>
    <w:rsid w:val="00480BFE"/>
    <w:rsid w:val="004813F4"/>
    <w:rsid w:val="00481A39"/>
    <w:rsid w:val="00481BCA"/>
    <w:rsid w:val="00482757"/>
    <w:rsid w:val="0048282F"/>
    <w:rsid w:val="0048294B"/>
    <w:rsid w:val="00482D4A"/>
    <w:rsid w:val="00483B59"/>
    <w:rsid w:val="00483F7E"/>
    <w:rsid w:val="004841AD"/>
    <w:rsid w:val="004843D1"/>
    <w:rsid w:val="00484BDD"/>
    <w:rsid w:val="0048509A"/>
    <w:rsid w:val="00485864"/>
    <w:rsid w:val="00485F3A"/>
    <w:rsid w:val="004867DC"/>
    <w:rsid w:val="00486872"/>
    <w:rsid w:val="004869E6"/>
    <w:rsid w:val="004870F1"/>
    <w:rsid w:val="004876CC"/>
    <w:rsid w:val="00487C17"/>
    <w:rsid w:val="0049007C"/>
    <w:rsid w:val="00490826"/>
    <w:rsid w:val="00490960"/>
    <w:rsid w:val="0049098B"/>
    <w:rsid w:val="00490F6E"/>
    <w:rsid w:val="00491B7B"/>
    <w:rsid w:val="00491BDE"/>
    <w:rsid w:val="004925D6"/>
    <w:rsid w:val="00492EE5"/>
    <w:rsid w:val="0049304A"/>
    <w:rsid w:val="00493424"/>
    <w:rsid w:val="0049345D"/>
    <w:rsid w:val="00493F76"/>
    <w:rsid w:val="00494105"/>
    <w:rsid w:val="00495069"/>
    <w:rsid w:val="004950DB"/>
    <w:rsid w:val="00495334"/>
    <w:rsid w:val="00495787"/>
    <w:rsid w:val="00495A3A"/>
    <w:rsid w:val="00495BE5"/>
    <w:rsid w:val="00495CCC"/>
    <w:rsid w:val="004966F5"/>
    <w:rsid w:val="0049724B"/>
    <w:rsid w:val="00497665"/>
    <w:rsid w:val="00497A6C"/>
    <w:rsid w:val="004A0F57"/>
    <w:rsid w:val="004A1C83"/>
    <w:rsid w:val="004A22ED"/>
    <w:rsid w:val="004A26BC"/>
    <w:rsid w:val="004A3A52"/>
    <w:rsid w:val="004A3C78"/>
    <w:rsid w:val="004A3DFF"/>
    <w:rsid w:val="004A45C2"/>
    <w:rsid w:val="004A481D"/>
    <w:rsid w:val="004A4B16"/>
    <w:rsid w:val="004A4C68"/>
    <w:rsid w:val="004A50EF"/>
    <w:rsid w:val="004A5558"/>
    <w:rsid w:val="004A59B2"/>
    <w:rsid w:val="004A5AF8"/>
    <w:rsid w:val="004A6029"/>
    <w:rsid w:val="004A606F"/>
    <w:rsid w:val="004A6E8F"/>
    <w:rsid w:val="004A6F08"/>
    <w:rsid w:val="004A6F49"/>
    <w:rsid w:val="004A71FD"/>
    <w:rsid w:val="004A740C"/>
    <w:rsid w:val="004A74EF"/>
    <w:rsid w:val="004A7AE9"/>
    <w:rsid w:val="004A7B65"/>
    <w:rsid w:val="004A7F40"/>
    <w:rsid w:val="004B00D4"/>
    <w:rsid w:val="004B0198"/>
    <w:rsid w:val="004B0B56"/>
    <w:rsid w:val="004B1218"/>
    <w:rsid w:val="004B13A9"/>
    <w:rsid w:val="004B195B"/>
    <w:rsid w:val="004B1C83"/>
    <w:rsid w:val="004B2D01"/>
    <w:rsid w:val="004B37A2"/>
    <w:rsid w:val="004B3C07"/>
    <w:rsid w:val="004B3DDD"/>
    <w:rsid w:val="004B3F07"/>
    <w:rsid w:val="004B4034"/>
    <w:rsid w:val="004B406F"/>
    <w:rsid w:val="004B4328"/>
    <w:rsid w:val="004B45B2"/>
    <w:rsid w:val="004B466C"/>
    <w:rsid w:val="004B485F"/>
    <w:rsid w:val="004B4965"/>
    <w:rsid w:val="004B4F75"/>
    <w:rsid w:val="004B501D"/>
    <w:rsid w:val="004B5037"/>
    <w:rsid w:val="004B55AA"/>
    <w:rsid w:val="004B588A"/>
    <w:rsid w:val="004B5ABE"/>
    <w:rsid w:val="004B5ACE"/>
    <w:rsid w:val="004B602C"/>
    <w:rsid w:val="004B610B"/>
    <w:rsid w:val="004B6343"/>
    <w:rsid w:val="004B649E"/>
    <w:rsid w:val="004B6572"/>
    <w:rsid w:val="004B6EA5"/>
    <w:rsid w:val="004B6EC4"/>
    <w:rsid w:val="004B6FF1"/>
    <w:rsid w:val="004B73AD"/>
    <w:rsid w:val="004B76D8"/>
    <w:rsid w:val="004B76D9"/>
    <w:rsid w:val="004B7DDD"/>
    <w:rsid w:val="004C051C"/>
    <w:rsid w:val="004C1032"/>
    <w:rsid w:val="004C23CB"/>
    <w:rsid w:val="004C2481"/>
    <w:rsid w:val="004C2B69"/>
    <w:rsid w:val="004C32E1"/>
    <w:rsid w:val="004C342E"/>
    <w:rsid w:val="004C386C"/>
    <w:rsid w:val="004C3AFA"/>
    <w:rsid w:val="004C432F"/>
    <w:rsid w:val="004C4943"/>
    <w:rsid w:val="004C4A7A"/>
    <w:rsid w:val="004C554D"/>
    <w:rsid w:val="004C5EF0"/>
    <w:rsid w:val="004C609D"/>
    <w:rsid w:val="004C6A7E"/>
    <w:rsid w:val="004C6B4A"/>
    <w:rsid w:val="004C6C31"/>
    <w:rsid w:val="004C7077"/>
    <w:rsid w:val="004C73CA"/>
    <w:rsid w:val="004D022A"/>
    <w:rsid w:val="004D10A6"/>
    <w:rsid w:val="004D13FD"/>
    <w:rsid w:val="004D19F1"/>
    <w:rsid w:val="004D1CDA"/>
    <w:rsid w:val="004D2011"/>
    <w:rsid w:val="004D27D8"/>
    <w:rsid w:val="004D2B89"/>
    <w:rsid w:val="004D3958"/>
    <w:rsid w:val="004D3BBA"/>
    <w:rsid w:val="004D3F95"/>
    <w:rsid w:val="004D41C1"/>
    <w:rsid w:val="004D421B"/>
    <w:rsid w:val="004D46CA"/>
    <w:rsid w:val="004D47D6"/>
    <w:rsid w:val="004D4A33"/>
    <w:rsid w:val="004D5296"/>
    <w:rsid w:val="004D5A21"/>
    <w:rsid w:val="004D5A92"/>
    <w:rsid w:val="004D5CE9"/>
    <w:rsid w:val="004D5F2C"/>
    <w:rsid w:val="004D6181"/>
    <w:rsid w:val="004D6295"/>
    <w:rsid w:val="004D71F3"/>
    <w:rsid w:val="004D72A0"/>
    <w:rsid w:val="004D7331"/>
    <w:rsid w:val="004D7418"/>
    <w:rsid w:val="004D76C3"/>
    <w:rsid w:val="004D7FF5"/>
    <w:rsid w:val="004E05D5"/>
    <w:rsid w:val="004E097D"/>
    <w:rsid w:val="004E0F1B"/>
    <w:rsid w:val="004E240C"/>
    <w:rsid w:val="004E2471"/>
    <w:rsid w:val="004E24F4"/>
    <w:rsid w:val="004E2A16"/>
    <w:rsid w:val="004E3A05"/>
    <w:rsid w:val="004E4959"/>
    <w:rsid w:val="004E5078"/>
    <w:rsid w:val="004E5B47"/>
    <w:rsid w:val="004E5CB7"/>
    <w:rsid w:val="004E62E8"/>
    <w:rsid w:val="004E6611"/>
    <w:rsid w:val="004E666A"/>
    <w:rsid w:val="004E6806"/>
    <w:rsid w:val="004E7836"/>
    <w:rsid w:val="004E7849"/>
    <w:rsid w:val="004E7C4E"/>
    <w:rsid w:val="004E7CB8"/>
    <w:rsid w:val="004F0481"/>
    <w:rsid w:val="004F0A69"/>
    <w:rsid w:val="004F1185"/>
    <w:rsid w:val="004F15B1"/>
    <w:rsid w:val="004F1A85"/>
    <w:rsid w:val="004F1EA8"/>
    <w:rsid w:val="004F2CCD"/>
    <w:rsid w:val="004F321F"/>
    <w:rsid w:val="004F36E6"/>
    <w:rsid w:val="004F387F"/>
    <w:rsid w:val="004F3B52"/>
    <w:rsid w:val="004F3E48"/>
    <w:rsid w:val="004F51C3"/>
    <w:rsid w:val="004F5207"/>
    <w:rsid w:val="004F529E"/>
    <w:rsid w:val="004F56A7"/>
    <w:rsid w:val="004F5D62"/>
    <w:rsid w:val="004F60BE"/>
    <w:rsid w:val="004F62F4"/>
    <w:rsid w:val="004F7B72"/>
    <w:rsid w:val="004F7CB9"/>
    <w:rsid w:val="005001C2"/>
    <w:rsid w:val="00500240"/>
    <w:rsid w:val="005006F8"/>
    <w:rsid w:val="00502444"/>
    <w:rsid w:val="005029EF"/>
    <w:rsid w:val="005031F5"/>
    <w:rsid w:val="005033C7"/>
    <w:rsid w:val="005038F3"/>
    <w:rsid w:val="00503FA9"/>
    <w:rsid w:val="00503FCC"/>
    <w:rsid w:val="00504AD2"/>
    <w:rsid w:val="00504EAD"/>
    <w:rsid w:val="00504ED0"/>
    <w:rsid w:val="0050574B"/>
    <w:rsid w:val="00506230"/>
    <w:rsid w:val="00506946"/>
    <w:rsid w:val="0050787C"/>
    <w:rsid w:val="00507934"/>
    <w:rsid w:val="005100D7"/>
    <w:rsid w:val="00510785"/>
    <w:rsid w:val="00511D05"/>
    <w:rsid w:val="00511F9D"/>
    <w:rsid w:val="00512275"/>
    <w:rsid w:val="00512A7D"/>
    <w:rsid w:val="00513060"/>
    <w:rsid w:val="00513090"/>
    <w:rsid w:val="0051369E"/>
    <w:rsid w:val="00513854"/>
    <w:rsid w:val="00513B9D"/>
    <w:rsid w:val="00513BF2"/>
    <w:rsid w:val="00513D33"/>
    <w:rsid w:val="0051458B"/>
    <w:rsid w:val="005146CD"/>
    <w:rsid w:val="00514916"/>
    <w:rsid w:val="00514E4A"/>
    <w:rsid w:val="00515401"/>
    <w:rsid w:val="00516185"/>
    <w:rsid w:val="005164D7"/>
    <w:rsid w:val="00516657"/>
    <w:rsid w:val="00516D02"/>
    <w:rsid w:val="0051745B"/>
    <w:rsid w:val="00517BB8"/>
    <w:rsid w:val="00517BE4"/>
    <w:rsid w:val="00517C36"/>
    <w:rsid w:val="005206A6"/>
    <w:rsid w:val="00520B7C"/>
    <w:rsid w:val="0052125E"/>
    <w:rsid w:val="00521587"/>
    <w:rsid w:val="00521618"/>
    <w:rsid w:val="00521A54"/>
    <w:rsid w:val="005221FB"/>
    <w:rsid w:val="00522822"/>
    <w:rsid w:val="00522B71"/>
    <w:rsid w:val="00522B99"/>
    <w:rsid w:val="00522E40"/>
    <w:rsid w:val="00522FFB"/>
    <w:rsid w:val="0052341D"/>
    <w:rsid w:val="00523C79"/>
    <w:rsid w:val="00523D4E"/>
    <w:rsid w:val="00524088"/>
    <w:rsid w:val="0052497C"/>
    <w:rsid w:val="00525502"/>
    <w:rsid w:val="00525CAF"/>
    <w:rsid w:val="00525EE2"/>
    <w:rsid w:val="00525F4C"/>
    <w:rsid w:val="00526441"/>
    <w:rsid w:val="005266AE"/>
    <w:rsid w:val="005267D5"/>
    <w:rsid w:val="00526EC9"/>
    <w:rsid w:val="0052784C"/>
    <w:rsid w:val="00530219"/>
    <w:rsid w:val="00530AEE"/>
    <w:rsid w:val="00530B01"/>
    <w:rsid w:val="00530C33"/>
    <w:rsid w:val="005310D2"/>
    <w:rsid w:val="005319D0"/>
    <w:rsid w:val="00532306"/>
    <w:rsid w:val="00532D19"/>
    <w:rsid w:val="005331A0"/>
    <w:rsid w:val="00533A01"/>
    <w:rsid w:val="005347FD"/>
    <w:rsid w:val="00535847"/>
    <w:rsid w:val="00535B21"/>
    <w:rsid w:val="0053738E"/>
    <w:rsid w:val="005376CE"/>
    <w:rsid w:val="00537CE2"/>
    <w:rsid w:val="00537D5F"/>
    <w:rsid w:val="00540A63"/>
    <w:rsid w:val="00540C36"/>
    <w:rsid w:val="00540F65"/>
    <w:rsid w:val="005410F6"/>
    <w:rsid w:val="00541408"/>
    <w:rsid w:val="00541626"/>
    <w:rsid w:val="005416BE"/>
    <w:rsid w:val="0054208D"/>
    <w:rsid w:val="00542688"/>
    <w:rsid w:val="0054285A"/>
    <w:rsid w:val="00542E9E"/>
    <w:rsid w:val="005432FC"/>
    <w:rsid w:val="00543901"/>
    <w:rsid w:val="00543EF5"/>
    <w:rsid w:val="00543FF2"/>
    <w:rsid w:val="005442C5"/>
    <w:rsid w:val="005444C1"/>
    <w:rsid w:val="0054456F"/>
    <w:rsid w:val="005445D2"/>
    <w:rsid w:val="005447EF"/>
    <w:rsid w:val="005448FC"/>
    <w:rsid w:val="00544D3A"/>
    <w:rsid w:val="00544D8F"/>
    <w:rsid w:val="00544E2B"/>
    <w:rsid w:val="00544F5A"/>
    <w:rsid w:val="0054523F"/>
    <w:rsid w:val="00545406"/>
    <w:rsid w:val="0054595E"/>
    <w:rsid w:val="00545E48"/>
    <w:rsid w:val="0054688D"/>
    <w:rsid w:val="0054693D"/>
    <w:rsid w:val="00546986"/>
    <w:rsid w:val="00546BDA"/>
    <w:rsid w:val="005473D2"/>
    <w:rsid w:val="00547B6E"/>
    <w:rsid w:val="005502EF"/>
    <w:rsid w:val="0055042D"/>
    <w:rsid w:val="00550B6E"/>
    <w:rsid w:val="00550E67"/>
    <w:rsid w:val="005512D4"/>
    <w:rsid w:val="00553295"/>
    <w:rsid w:val="0055359D"/>
    <w:rsid w:val="005537AC"/>
    <w:rsid w:val="00553A30"/>
    <w:rsid w:val="00553DA8"/>
    <w:rsid w:val="00553FFB"/>
    <w:rsid w:val="0055405E"/>
    <w:rsid w:val="00554519"/>
    <w:rsid w:val="00554557"/>
    <w:rsid w:val="00554C02"/>
    <w:rsid w:val="00554D35"/>
    <w:rsid w:val="00555036"/>
    <w:rsid w:val="005552B2"/>
    <w:rsid w:val="0055563F"/>
    <w:rsid w:val="0055582E"/>
    <w:rsid w:val="00555E9D"/>
    <w:rsid w:val="00555F40"/>
    <w:rsid w:val="00556360"/>
    <w:rsid w:val="00556AD6"/>
    <w:rsid w:val="00556F22"/>
    <w:rsid w:val="00557256"/>
    <w:rsid w:val="00557365"/>
    <w:rsid w:val="0055753E"/>
    <w:rsid w:val="005612AF"/>
    <w:rsid w:val="005615F5"/>
    <w:rsid w:val="00561623"/>
    <w:rsid w:val="005618A8"/>
    <w:rsid w:val="0056207D"/>
    <w:rsid w:val="00562770"/>
    <w:rsid w:val="00562884"/>
    <w:rsid w:val="0056288E"/>
    <w:rsid w:val="00563058"/>
    <w:rsid w:val="00563184"/>
    <w:rsid w:val="00563494"/>
    <w:rsid w:val="00564DD2"/>
    <w:rsid w:val="00564FC1"/>
    <w:rsid w:val="005651C0"/>
    <w:rsid w:val="0056541F"/>
    <w:rsid w:val="00565826"/>
    <w:rsid w:val="00565868"/>
    <w:rsid w:val="00566402"/>
    <w:rsid w:val="00566626"/>
    <w:rsid w:val="00567401"/>
    <w:rsid w:val="00567835"/>
    <w:rsid w:val="00567E5B"/>
    <w:rsid w:val="00567EF7"/>
    <w:rsid w:val="0057033E"/>
    <w:rsid w:val="005709A5"/>
    <w:rsid w:val="00570CCF"/>
    <w:rsid w:val="0057226B"/>
    <w:rsid w:val="00572513"/>
    <w:rsid w:val="00572A76"/>
    <w:rsid w:val="00574344"/>
    <w:rsid w:val="00574614"/>
    <w:rsid w:val="00574710"/>
    <w:rsid w:val="00574B1D"/>
    <w:rsid w:val="00574D68"/>
    <w:rsid w:val="00575AA2"/>
    <w:rsid w:val="00575D98"/>
    <w:rsid w:val="00576FE4"/>
    <w:rsid w:val="00577297"/>
    <w:rsid w:val="00577398"/>
    <w:rsid w:val="005774CC"/>
    <w:rsid w:val="00577888"/>
    <w:rsid w:val="0057791D"/>
    <w:rsid w:val="00577DD5"/>
    <w:rsid w:val="005807A8"/>
    <w:rsid w:val="0058167A"/>
    <w:rsid w:val="005818B1"/>
    <w:rsid w:val="0058198B"/>
    <w:rsid w:val="005819FD"/>
    <w:rsid w:val="00581CCE"/>
    <w:rsid w:val="0058212A"/>
    <w:rsid w:val="00582563"/>
    <w:rsid w:val="00582C8B"/>
    <w:rsid w:val="00582F0B"/>
    <w:rsid w:val="005834DB"/>
    <w:rsid w:val="005836B4"/>
    <w:rsid w:val="00583BF7"/>
    <w:rsid w:val="00583C91"/>
    <w:rsid w:val="00583CD7"/>
    <w:rsid w:val="005842C1"/>
    <w:rsid w:val="005847D3"/>
    <w:rsid w:val="00584A88"/>
    <w:rsid w:val="00584B51"/>
    <w:rsid w:val="0058551F"/>
    <w:rsid w:val="0058580B"/>
    <w:rsid w:val="00585AF7"/>
    <w:rsid w:val="00585D3D"/>
    <w:rsid w:val="00585D71"/>
    <w:rsid w:val="0058690B"/>
    <w:rsid w:val="00586B8D"/>
    <w:rsid w:val="00586B9C"/>
    <w:rsid w:val="00586CAA"/>
    <w:rsid w:val="005873D9"/>
    <w:rsid w:val="005875B1"/>
    <w:rsid w:val="00587DE1"/>
    <w:rsid w:val="00587EF6"/>
    <w:rsid w:val="0059091B"/>
    <w:rsid w:val="00592972"/>
    <w:rsid w:val="00593475"/>
    <w:rsid w:val="00593526"/>
    <w:rsid w:val="0059427F"/>
    <w:rsid w:val="00595149"/>
    <w:rsid w:val="00595336"/>
    <w:rsid w:val="0059538E"/>
    <w:rsid w:val="005966E8"/>
    <w:rsid w:val="0059751A"/>
    <w:rsid w:val="005A0004"/>
    <w:rsid w:val="005A0B77"/>
    <w:rsid w:val="005A0FE6"/>
    <w:rsid w:val="005A1FF1"/>
    <w:rsid w:val="005A2627"/>
    <w:rsid w:val="005A26F9"/>
    <w:rsid w:val="005A3AEE"/>
    <w:rsid w:val="005A4170"/>
    <w:rsid w:val="005A424E"/>
    <w:rsid w:val="005A4288"/>
    <w:rsid w:val="005A42D9"/>
    <w:rsid w:val="005A4309"/>
    <w:rsid w:val="005A4A36"/>
    <w:rsid w:val="005A50B5"/>
    <w:rsid w:val="005A5724"/>
    <w:rsid w:val="005A583A"/>
    <w:rsid w:val="005A62A2"/>
    <w:rsid w:val="005A674A"/>
    <w:rsid w:val="005A6E4F"/>
    <w:rsid w:val="005A7022"/>
    <w:rsid w:val="005A7205"/>
    <w:rsid w:val="005A7353"/>
    <w:rsid w:val="005B0637"/>
    <w:rsid w:val="005B0975"/>
    <w:rsid w:val="005B0B41"/>
    <w:rsid w:val="005B0DBD"/>
    <w:rsid w:val="005B1150"/>
    <w:rsid w:val="005B19F6"/>
    <w:rsid w:val="005B1C15"/>
    <w:rsid w:val="005B2DCC"/>
    <w:rsid w:val="005B32DD"/>
    <w:rsid w:val="005B3600"/>
    <w:rsid w:val="005B3B95"/>
    <w:rsid w:val="005B4517"/>
    <w:rsid w:val="005B4710"/>
    <w:rsid w:val="005B47D8"/>
    <w:rsid w:val="005B4867"/>
    <w:rsid w:val="005B48EE"/>
    <w:rsid w:val="005B502A"/>
    <w:rsid w:val="005B51DA"/>
    <w:rsid w:val="005B5D2F"/>
    <w:rsid w:val="005B655D"/>
    <w:rsid w:val="005B6E61"/>
    <w:rsid w:val="005C08A3"/>
    <w:rsid w:val="005C0CEE"/>
    <w:rsid w:val="005C0DAF"/>
    <w:rsid w:val="005C0FC9"/>
    <w:rsid w:val="005C12C1"/>
    <w:rsid w:val="005C14CA"/>
    <w:rsid w:val="005C1B83"/>
    <w:rsid w:val="005C1E15"/>
    <w:rsid w:val="005C1F53"/>
    <w:rsid w:val="005C1F99"/>
    <w:rsid w:val="005C24C2"/>
    <w:rsid w:val="005C2556"/>
    <w:rsid w:val="005C2773"/>
    <w:rsid w:val="005C2C1E"/>
    <w:rsid w:val="005C2CB2"/>
    <w:rsid w:val="005C2FCD"/>
    <w:rsid w:val="005C3889"/>
    <w:rsid w:val="005C3A44"/>
    <w:rsid w:val="005C44B8"/>
    <w:rsid w:val="005C4CE4"/>
    <w:rsid w:val="005C5359"/>
    <w:rsid w:val="005C5E6B"/>
    <w:rsid w:val="005C6852"/>
    <w:rsid w:val="005C727D"/>
    <w:rsid w:val="005C7706"/>
    <w:rsid w:val="005C7C83"/>
    <w:rsid w:val="005C7D24"/>
    <w:rsid w:val="005C7FAD"/>
    <w:rsid w:val="005D0460"/>
    <w:rsid w:val="005D0690"/>
    <w:rsid w:val="005D0859"/>
    <w:rsid w:val="005D0F67"/>
    <w:rsid w:val="005D2DBD"/>
    <w:rsid w:val="005D5024"/>
    <w:rsid w:val="005D6C6B"/>
    <w:rsid w:val="005D74F4"/>
    <w:rsid w:val="005D7EC3"/>
    <w:rsid w:val="005E0871"/>
    <w:rsid w:val="005E0FB7"/>
    <w:rsid w:val="005E1176"/>
    <w:rsid w:val="005E1B2F"/>
    <w:rsid w:val="005E1D9B"/>
    <w:rsid w:val="005E1DF5"/>
    <w:rsid w:val="005E1ED5"/>
    <w:rsid w:val="005E250D"/>
    <w:rsid w:val="005E311C"/>
    <w:rsid w:val="005E31D5"/>
    <w:rsid w:val="005E3726"/>
    <w:rsid w:val="005E3A29"/>
    <w:rsid w:val="005E3FB1"/>
    <w:rsid w:val="005E42F2"/>
    <w:rsid w:val="005E4AFF"/>
    <w:rsid w:val="005E4EEC"/>
    <w:rsid w:val="005E6619"/>
    <w:rsid w:val="005E67A2"/>
    <w:rsid w:val="005E6E1E"/>
    <w:rsid w:val="005E714F"/>
    <w:rsid w:val="005E7E4B"/>
    <w:rsid w:val="005F016A"/>
    <w:rsid w:val="005F01AB"/>
    <w:rsid w:val="005F01B9"/>
    <w:rsid w:val="005F0D14"/>
    <w:rsid w:val="005F173C"/>
    <w:rsid w:val="005F1B52"/>
    <w:rsid w:val="005F1D11"/>
    <w:rsid w:val="005F2588"/>
    <w:rsid w:val="005F25E1"/>
    <w:rsid w:val="005F29D5"/>
    <w:rsid w:val="005F2E90"/>
    <w:rsid w:val="005F325E"/>
    <w:rsid w:val="005F34C0"/>
    <w:rsid w:val="005F37B4"/>
    <w:rsid w:val="005F37BB"/>
    <w:rsid w:val="005F3FE3"/>
    <w:rsid w:val="005F456B"/>
    <w:rsid w:val="005F4F3C"/>
    <w:rsid w:val="005F522F"/>
    <w:rsid w:val="005F5758"/>
    <w:rsid w:val="005F593E"/>
    <w:rsid w:val="005F5F32"/>
    <w:rsid w:val="005F618B"/>
    <w:rsid w:val="005F6203"/>
    <w:rsid w:val="005F6214"/>
    <w:rsid w:val="005F6445"/>
    <w:rsid w:val="005F73F6"/>
    <w:rsid w:val="005F7B13"/>
    <w:rsid w:val="005F7FE5"/>
    <w:rsid w:val="006004D0"/>
    <w:rsid w:val="00600BDC"/>
    <w:rsid w:val="00600C84"/>
    <w:rsid w:val="00600D61"/>
    <w:rsid w:val="006013A3"/>
    <w:rsid w:val="00601C4D"/>
    <w:rsid w:val="00601D18"/>
    <w:rsid w:val="0060242C"/>
    <w:rsid w:val="006038E6"/>
    <w:rsid w:val="00603AB4"/>
    <w:rsid w:val="00603C33"/>
    <w:rsid w:val="00604156"/>
    <w:rsid w:val="00604435"/>
    <w:rsid w:val="006048B8"/>
    <w:rsid w:val="006053D8"/>
    <w:rsid w:val="006055DB"/>
    <w:rsid w:val="00605BB6"/>
    <w:rsid w:val="00605C90"/>
    <w:rsid w:val="00605E1D"/>
    <w:rsid w:val="006063C6"/>
    <w:rsid w:val="0060757D"/>
    <w:rsid w:val="00607CCB"/>
    <w:rsid w:val="00607FD8"/>
    <w:rsid w:val="006101AC"/>
    <w:rsid w:val="00611238"/>
    <w:rsid w:val="006118A6"/>
    <w:rsid w:val="00611F26"/>
    <w:rsid w:val="0061210B"/>
    <w:rsid w:val="00612334"/>
    <w:rsid w:val="006125CF"/>
    <w:rsid w:val="00612DBE"/>
    <w:rsid w:val="006132E2"/>
    <w:rsid w:val="0061359D"/>
    <w:rsid w:val="006136DD"/>
    <w:rsid w:val="00613B52"/>
    <w:rsid w:val="00613CBE"/>
    <w:rsid w:val="00614375"/>
    <w:rsid w:val="00614621"/>
    <w:rsid w:val="0061463F"/>
    <w:rsid w:val="006149E8"/>
    <w:rsid w:val="006156CB"/>
    <w:rsid w:val="0061577A"/>
    <w:rsid w:val="0061580E"/>
    <w:rsid w:val="00615C61"/>
    <w:rsid w:val="00615D03"/>
    <w:rsid w:val="00615FCC"/>
    <w:rsid w:val="00616B17"/>
    <w:rsid w:val="006177C5"/>
    <w:rsid w:val="00617A83"/>
    <w:rsid w:val="00617D6D"/>
    <w:rsid w:val="00617ED4"/>
    <w:rsid w:val="00617F35"/>
    <w:rsid w:val="00620869"/>
    <w:rsid w:val="00620AF5"/>
    <w:rsid w:val="00620B89"/>
    <w:rsid w:val="00620C7D"/>
    <w:rsid w:val="00620E59"/>
    <w:rsid w:val="00620F20"/>
    <w:rsid w:val="006215B9"/>
    <w:rsid w:val="0062221F"/>
    <w:rsid w:val="0062238A"/>
    <w:rsid w:val="00622ABA"/>
    <w:rsid w:val="00622FA9"/>
    <w:rsid w:val="0062387A"/>
    <w:rsid w:val="00623F3A"/>
    <w:rsid w:val="006241EA"/>
    <w:rsid w:val="00624420"/>
    <w:rsid w:val="0062479E"/>
    <w:rsid w:val="0062481F"/>
    <w:rsid w:val="00624EC1"/>
    <w:rsid w:val="00625BA0"/>
    <w:rsid w:val="006261E4"/>
    <w:rsid w:val="006262A7"/>
    <w:rsid w:val="0062673B"/>
    <w:rsid w:val="00626743"/>
    <w:rsid w:val="006267E4"/>
    <w:rsid w:val="00626A2B"/>
    <w:rsid w:val="00626E9F"/>
    <w:rsid w:val="00627204"/>
    <w:rsid w:val="0062756B"/>
    <w:rsid w:val="0062785D"/>
    <w:rsid w:val="006278B2"/>
    <w:rsid w:val="006278FD"/>
    <w:rsid w:val="006300F2"/>
    <w:rsid w:val="006305B8"/>
    <w:rsid w:val="00630CCC"/>
    <w:rsid w:val="00631317"/>
    <w:rsid w:val="00631775"/>
    <w:rsid w:val="00631B2D"/>
    <w:rsid w:val="00631D4E"/>
    <w:rsid w:val="00632B23"/>
    <w:rsid w:val="006333AF"/>
    <w:rsid w:val="00633783"/>
    <w:rsid w:val="006337AA"/>
    <w:rsid w:val="00633CE1"/>
    <w:rsid w:val="0063401C"/>
    <w:rsid w:val="00634157"/>
    <w:rsid w:val="0063417A"/>
    <w:rsid w:val="00634E30"/>
    <w:rsid w:val="00634F3E"/>
    <w:rsid w:val="006357E9"/>
    <w:rsid w:val="006363C1"/>
    <w:rsid w:val="00636473"/>
    <w:rsid w:val="006364D9"/>
    <w:rsid w:val="00636880"/>
    <w:rsid w:val="00636946"/>
    <w:rsid w:val="00636CB8"/>
    <w:rsid w:val="00636DCF"/>
    <w:rsid w:val="00637792"/>
    <w:rsid w:val="00637C9B"/>
    <w:rsid w:val="00637DA7"/>
    <w:rsid w:val="00637F2F"/>
    <w:rsid w:val="006409CD"/>
    <w:rsid w:val="00640AC0"/>
    <w:rsid w:val="00640FC6"/>
    <w:rsid w:val="00641593"/>
    <w:rsid w:val="006419E3"/>
    <w:rsid w:val="00642125"/>
    <w:rsid w:val="00642931"/>
    <w:rsid w:val="00642BBE"/>
    <w:rsid w:val="00642FC7"/>
    <w:rsid w:val="006433E2"/>
    <w:rsid w:val="00644120"/>
    <w:rsid w:val="006443B4"/>
    <w:rsid w:val="0064440E"/>
    <w:rsid w:val="0064449D"/>
    <w:rsid w:val="006445B9"/>
    <w:rsid w:val="00645286"/>
    <w:rsid w:val="006464AE"/>
    <w:rsid w:val="00646710"/>
    <w:rsid w:val="00646A92"/>
    <w:rsid w:val="00646FE4"/>
    <w:rsid w:val="006471E0"/>
    <w:rsid w:val="006473F2"/>
    <w:rsid w:val="006475B7"/>
    <w:rsid w:val="006475D1"/>
    <w:rsid w:val="006476FE"/>
    <w:rsid w:val="006478CD"/>
    <w:rsid w:val="006503A8"/>
    <w:rsid w:val="00650DA7"/>
    <w:rsid w:val="006510B8"/>
    <w:rsid w:val="0065165E"/>
    <w:rsid w:val="00652653"/>
    <w:rsid w:val="006528FE"/>
    <w:rsid w:val="00652DA4"/>
    <w:rsid w:val="00652DB8"/>
    <w:rsid w:val="0065339B"/>
    <w:rsid w:val="00653621"/>
    <w:rsid w:val="00653A07"/>
    <w:rsid w:val="0065412D"/>
    <w:rsid w:val="00654694"/>
    <w:rsid w:val="0065492A"/>
    <w:rsid w:val="00654DB5"/>
    <w:rsid w:val="00655234"/>
    <w:rsid w:val="00655846"/>
    <w:rsid w:val="006560F6"/>
    <w:rsid w:val="0065667B"/>
    <w:rsid w:val="00656782"/>
    <w:rsid w:val="00656A95"/>
    <w:rsid w:val="006575B0"/>
    <w:rsid w:val="006577F7"/>
    <w:rsid w:val="00657A4E"/>
    <w:rsid w:val="00657FEB"/>
    <w:rsid w:val="00660A78"/>
    <w:rsid w:val="00660A97"/>
    <w:rsid w:val="00660F45"/>
    <w:rsid w:val="006610A0"/>
    <w:rsid w:val="00661A55"/>
    <w:rsid w:val="00661BC2"/>
    <w:rsid w:val="00661D85"/>
    <w:rsid w:val="00662149"/>
    <w:rsid w:val="006623BD"/>
    <w:rsid w:val="00662961"/>
    <w:rsid w:val="00662DBD"/>
    <w:rsid w:val="0066303C"/>
    <w:rsid w:val="006633AE"/>
    <w:rsid w:val="006642AA"/>
    <w:rsid w:val="006647A0"/>
    <w:rsid w:val="00664BD5"/>
    <w:rsid w:val="00664F6F"/>
    <w:rsid w:val="00665025"/>
    <w:rsid w:val="006656E7"/>
    <w:rsid w:val="00665BF5"/>
    <w:rsid w:val="0066631C"/>
    <w:rsid w:val="006666A9"/>
    <w:rsid w:val="00666BE3"/>
    <w:rsid w:val="00670288"/>
    <w:rsid w:val="006702AD"/>
    <w:rsid w:val="0067042B"/>
    <w:rsid w:val="00670781"/>
    <w:rsid w:val="00670908"/>
    <w:rsid w:val="0067156F"/>
    <w:rsid w:val="006728E6"/>
    <w:rsid w:val="00672B0B"/>
    <w:rsid w:val="00672F3C"/>
    <w:rsid w:val="0067309F"/>
    <w:rsid w:val="00673E8F"/>
    <w:rsid w:val="00674545"/>
    <w:rsid w:val="00674831"/>
    <w:rsid w:val="00674AF3"/>
    <w:rsid w:val="00674CF8"/>
    <w:rsid w:val="00674EA9"/>
    <w:rsid w:val="006751C2"/>
    <w:rsid w:val="0067535A"/>
    <w:rsid w:val="0067611C"/>
    <w:rsid w:val="00676168"/>
    <w:rsid w:val="0067656E"/>
    <w:rsid w:val="006768C9"/>
    <w:rsid w:val="00676F12"/>
    <w:rsid w:val="0067712D"/>
    <w:rsid w:val="006772FB"/>
    <w:rsid w:val="00677CB9"/>
    <w:rsid w:val="00677DBC"/>
    <w:rsid w:val="006801FE"/>
    <w:rsid w:val="0068068C"/>
    <w:rsid w:val="00680A3B"/>
    <w:rsid w:val="00680D07"/>
    <w:rsid w:val="00681B8C"/>
    <w:rsid w:val="00681C9F"/>
    <w:rsid w:val="00682C86"/>
    <w:rsid w:val="00683075"/>
    <w:rsid w:val="006831B7"/>
    <w:rsid w:val="00684238"/>
    <w:rsid w:val="0068428C"/>
    <w:rsid w:val="0068460E"/>
    <w:rsid w:val="00684676"/>
    <w:rsid w:val="00684B8C"/>
    <w:rsid w:val="00685017"/>
    <w:rsid w:val="0068560D"/>
    <w:rsid w:val="0068667B"/>
    <w:rsid w:val="00686A47"/>
    <w:rsid w:val="00687286"/>
    <w:rsid w:val="00690522"/>
    <w:rsid w:val="006906E3"/>
    <w:rsid w:val="00691079"/>
    <w:rsid w:val="00691D3B"/>
    <w:rsid w:val="00692896"/>
    <w:rsid w:val="00692F98"/>
    <w:rsid w:val="0069384C"/>
    <w:rsid w:val="006938CC"/>
    <w:rsid w:val="006938E2"/>
    <w:rsid w:val="00694402"/>
    <w:rsid w:val="0069467A"/>
    <w:rsid w:val="00695484"/>
    <w:rsid w:val="0069566D"/>
    <w:rsid w:val="006962A7"/>
    <w:rsid w:val="00696BA4"/>
    <w:rsid w:val="00696DB0"/>
    <w:rsid w:val="00697274"/>
    <w:rsid w:val="006978C4"/>
    <w:rsid w:val="00697B90"/>
    <w:rsid w:val="006A0000"/>
    <w:rsid w:val="006A01F8"/>
    <w:rsid w:val="006A0D8A"/>
    <w:rsid w:val="006A1243"/>
    <w:rsid w:val="006A12CD"/>
    <w:rsid w:val="006A1471"/>
    <w:rsid w:val="006A154A"/>
    <w:rsid w:val="006A1784"/>
    <w:rsid w:val="006A289A"/>
    <w:rsid w:val="006A2A0C"/>
    <w:rsid w:val="006A2E23"/>
    <w:rsid w:val="006A33CC"/>
    <w:rsid w:val="006A3AFE"/>
    <w:rsid w:val="006A4373"/>
    <w:rsid w:val="006A48BF"/>
    <w:rsid w:val="006A4AE8"/>
    <w:rsid w:val="006A5213"/>
    <w:rsid w:val="006A541D"/>
    <w:rsid w:val="006A544A"/>
    <w:rsid w:val="006A56BC"/>
    <w:rsid w:val="006A5901"/>
    <w:rsid w:val="006A6321"/>
    <w:rsid w:val="006A680A"/>
    <w:rsid w:val="006A6874"/>
    <w:rsid w:val="006A6882"/>
    <w:rsid w:val="006A6BA5"/>
    <w:rsid w:val="006A6C02"/>
    <w:rsid w:val="006A7A41"/>
    <w:rsid w:val="006A7A53"/>
    <w:rsid w:val="006B0440"/>
    <w:rsid w:val="006B06D3"/>
    <w:rsid w:val="006B1498"/>
    <w:rsid w:val="006B19CE"/>
    <w:rsid w:val="006B256D"/>
    <w:rsid w:val="006B27FC"/>
    <w:rsid w:val="006B2B9A"/>
    <w:rsid w:val="006B367B"/>
    <w:rsid w:val="006B3E81"/>
    <w:rsid w:val="006B41EE"/>
    <w:rsid w:val="006B4A43"/>
    <w:rsid w:val="006B4A8B"/>
    <w:rsid w:val="006B4E9B"/>
    <w:rsid w:val="006B5597"/>
    <w:rsid w:val="006B5773"/>
    <w:rsid w:val="006B5A0F"/>
    <w:rsid w:val="006B6573"/>
    <w:rsid w:val="006B65D8"/>
    <w:rsid w:val="006B6690"/>
    <w:rsid w:val="006B669C"/>
    <w:rsid w:val="006B7230"/>
    <w:rsid w:val="006B7440"/>
    <w:rsid w:val="006B7AC2"/>
    <w:rsid w:val="006C0309"/>
    <w:rsid w:val="006C03C6"/>
    <w:rsid w:val="006C07A7"/>
    <w:rsid w:val="006C147B"/>
    <w:rsid w:val="006C14F3"/>
    <w:rsid w:val="006C1559"/>
    <w:rsid w:val="006C1A56"/>
    <w:rsid w:val="006C200B"/>
    <w:rsid w:val="006C2C0A"/>
    <w:rsid w:val="006C2F93"/>
    <w:rsid w:val="006C3CD3"/>
    <w:rsid w:val="006C487F"/>
    <w:rsid w:val="006C49D2"/>
    <w:rsid w:val="006C4BA2"/>
    <w:rsid w:val="006C4BB7"/>
    <w:rsid w:val="006C5299"/>
    <w:rsid w:val="006C63A7"/>
    <w:rsid w:val="006C76EC"/>
    <w:rsid w:val="006C7B16"/>
    <w:rsid w:val="006D021D"/>
    <w:rsid w:val="006D1A4D"/>
    <w:rsid w:val="006D1E35"/>
    <w:rsid w:val="006D2313"/>
    <w:rsid w:val="006D2539"/>
    <w:rsid w:val="006D29FA"/>
    <w:rsid w:val="006D2A4A"/>
    <w:rsid w:val="006D2B8C"/>
    <w:rsid w:val="006D2BA0"/>
    <w:rsid w:val="006D3A1F"/>
    <w:rsid w:val="006D3C75"/>
    <w:rsid w:val="006D4D06"/>
    <w:rsid w:val="006D5685"/>
    <w:rsid w:val="006D58E7"/>
    <w:rsid w:val="006D5963"/>
    <w:rsid w:val="006D6037"/>
    <w:rsid w:val="006D6171"/>
    <w:rsid w:val="006D6181"/>
    <w:rsid w:val="006D646D"/>
    <w:rsid w:val="006D6745"/>
    <w:rsid w:val="006D6CA1"/>
    <w:rsid w:val="006E0239"/>
    <w:rsid w:val="006E02D9"/>
    <w:rsid w:val="006E0601"/>
    <w:rsid w:val="006E0A08"/>
    <w:rsid w:val="006E1ABA"/>
    <w:rsid w:val="006E1CD0"/>
    <w:rsid w:val="006E1D7B"/>
    <w:rsid w:val="006E2D8A"/>
    <w:rsid w:val="006E3164"/>
    <w:rsid w:val="006E3364"/>
    <w:rsid w:val="006E342A"/>
    <w:rsid w:val="006E3607"/>
    <w:rsid w:val="006E3655"/>
    <w:rsid w:val="006E41D9"/>
    <w:rsid w:val="006E4EBC"/>
    <w:rsid w:val="006E4FA7"/>
    <w:rsid w:val="006E644A"/>
    <w:rsid w:val="006E6952"/>
    <w:rsid w:val="006E73ED"/>
    <w:rsid w:val="006E7869"/>
    <w:rsid w:val="006F06EC"/>
    <w:rsid w:val="006F1513"/>
    <w:rsid w:val="006F1CE1"/>
    <w:rsid w:val="006F365C"/>
    <w:rsid w:val="006F3686"/>
    <w:rsid w:val="006F3A8C"/>
    <w:rsid w:val="006F3DA9"/>
    <w:rsid w:val="006F4CB4"/>
    <w:rsid w:val="006F5BB7"/>
    <w:rsid w:val="006F5CC2"/>
    <w:rsid w:val="006F5EBD"/>
    <w:rsid w:val="006F64B7"/>
    <w:rsid w:val="006F65C4"/>
    <w:rsid w:val="006F6767"/>
    <w:rsid w:val="006F6BEE"/>
    <w:rsid w:val="006F6CC4"/>
    <w:rsid w:val="006F6E69"/>
    <w:rsid w:val="006F6EAC"/>
    <w:rsid w:val="006F783A"/>
    <w:rsid w:val="006F7BAA"/>
    <w:rsid w:val="006F7D49"/>
    <w:rsid w:val="006F7F5B"/>
    <w:rsid w:val="0070004D"/>
    <w:rsid w:val="00701728"/>
    <w:rsid w:val="00701E49"/>
    <w:rsid w:val="00703055"/>
    <w:rsid w:val="00703971"/>
    <w:rsid w:val="00703A26"/>
    <w:rsid w:val="00704A90"/>
    <w:rsid w:val="00704DF5"/>
    <w:rsid w:val="007055D5"/>
    <w:rsid w:val="007059D2"/>
    <w:rsid w:val="00705AEF"/>
    <w:rsid w:val="00705DB6"/>
    <w:rsid w:val="00706AF7"/>
    <w:rsid w:val="00706CB4"/>
    <w:rsid w:val="00707427"/>
    <w:rsid w:val="007079D2"/>
    <w:rsid w:val="00707BAC"/>
    <w:rsid w:val="00710445"/>
    <w:rsid w:val="0071073F"/>
    <w:rsid w:val="00710800"/>
    <w:rsid w:val="00710DA0"/>
    <w:rsid w:val="00710DFC"/>
    <w:rsid w:val="00711314"/>
    <w:rsid w:val="00711423"/>
    <w:rsid w:val="00711AFA"/>
    <w:rsid w:val="0071273D"/>
    <w:rsid w:val="007128D7"/>
    <w:rsid w:val="00713755"/>
    <w:rsid w:val="00713979"/>
    <w:rsid w:val="00713D78"/>
    <w:rsid w:val="00714FF6"/>
    <w:rsid w:val="007155BF"/>
    <w:rsid w:val="00716833"/>
    <w:rsid w:val="007170B7"/>
    <w:rsid w:val="00717810"/>
    <w:rsid w:val="00717AB3"/>
    <w:rsid w:val="00720235"/>
    <w:rsid w:val="007205FA"/>
    <w:rsid w:val="00720949"/>
    <w:rsid w:val="00721D07"/>
    <w:rsid w:val="007224C8"/>
    <w:rsid w:val="00722FE6"/>
    <w:rsid w:val="007236D4"/>
    <w:rsid w:val="00723D4B"/>
    <w:rsid w:val="00724099"/>
    <w:rsid w:val="00724164"/>
    <w:rsid w:val="007241F9"/>
    <w:rsid w:val="00724487"/>
    <w:rsid w:val="00724969"/>
    <w:rsid w:val="007249E9"/>
    <w:rsid w:val="00724A3C"/>
    <w:rsid w:val="00724BCC"/>
    <w:rsid w:val="00724E16"/>
    <w:rsid w:val="007250E6"/>
    <w:rsid w:val="00725A97"/>
    <w:rsid w:val="00725B63"/>
    <w:rsid w:val="0072607A"/>
    <w:rsid w:val="0072615C"/>
    <w:rsid w:val="00726604"/>
    <w:rsid w:val="00726805"/>
    <w:rsid w:val="00726F10"/>
    <w:rsid w:val="00727A64"/>
    <w:rsid w:val="00727C28"/>
    <w:rsid w:val="00727CB1"/>
    <w:rsid w:val="00727D70"/>
    <w:rsid w:val="007304CB"/>
    <w:rsid w:val="00730C07"/>
    <w:rsid w:val="00731158"/>
    <w:rsid w:val="00731731"/>
    <w:rsid w:val="00731739"/>
    <w:rsid w:val="00731B4A"/>
    <w:rsid w:val="00731F61"/>
    <w:rsid w:val="00732157"/>
    <w:rsid w:val="0073228C"/>
    <w:rsid w:val="007327BC"/>
    <w:rsid w:val="00732D64"/>
    <w:rsid w:val="00733371"/>
    <w:rsid w:val="0073353D"/>
    <w:rsid w:val="00733872"/>
    <w:rsid w:val="0073399F"/>
    <w:rsid w:val="00734662"/>
    <w:rsid w:val="00734E5B"/>
    <w:rsid w:val="00735078"/>
    <w:rsid w:val="0073515B"/>
    <w:rsid w:val="007354B0"/>
    <w:rsid w:val="0073586E"/>
    <w:rsid w:val="00735A4E"/>
    <w:rsid w:val="0073605B"/>
    <w:rsid w:val="0073655C"/>
    <w:rsid w:val="00736AFF"/>
    <w:rsid w:val="00736DBE"/>
    <w:rsid w:val="00736E1F"/>
    <w:rsid w:val="0073721F"/>
    <w:rsid w:val="0074041A"/>
    <w:rsid w:val="00740A77"/>
    <w:rsid w:val="00740AF9"/>
    <w:rsid w:val="00741CBE"/>
    <w:rsid w:val="00741E4E"/>
    <w:rsid w:val="007425D7"/>
    <w:rsid w:val="0074275E"/>
    <w:rsid w:val="00742806"/>
    <w:rsid w:val="00743316"/>
    <w:rsid w:val="007439F4"/>
    <w:rsid w:val="00743AC9"/>
    <w:rsid w:val="007442F5"/>
    <w:rsid w:val="00744914"/>
    <w:rsid w:val="0074496F"/>
    <w:rsid w:val="00744CC5"/>
    <w:rsid w:val="007454CE"/>
    <w:rsid w:val="007455AD"/>
    <w:rsid w:val="00745A0F"/>
    <w:rsid w:val="00745D16"/>
    <w:rsid w:val="00745D85"/>
    <w:rsid w:val="007461EC"/>
    <w:rsid w:val="00746CD0"/>
    <w:rsid w:val="007472C1"/>
    <w:rsid w:val="00747971"/>
    <w:rsid w:val="00747CB0"/>
    <w:rsid w:val="00750135"/>
    <w:rsid w:val="00750854"/>
    <w:rsid w:val="0075107C"/>
    <w:rsid w:val="00751733"/>
    <w:rsid w:val="00751E59"/>
    <w:rsid w:val="00751F0B"/>
    <w:rsid w:val="007526E8"/>
    <w:rsid w:val="00753407"/>
    <w:rsid w:val="0075388B"/>
    <w:rsid w:val="007539B1"/>
    <w:rsid w:val="00753AC4"/>
    <w:rsid w:val="00753BAA"/>
    <w:rsid w:val="00753EB5"/>
    <w:rsid w:val="00754617"/>
    <w:rsid w:val="00754908"/>
    <w:rsid w:val="00754B59"/>
    <w:rsid w:val="00755583"/>
    <w:rsid w:val="00756CF8"/>
    <w:rsid w:val="0075711C"/>
    <w:rsid w:val="007576DE"/>
    <w:rsid w:val="007577D8"/>
    <w:rsid w:val="007578A9"/>
    <w:rsid w:val="00760017"/>
    <w:rsid w:val="00760375"/>
    <w:rsid w:val="00762C55"/>
    <w:rsid w:val="00762E1C"/>
    <w:rsid w:val="00763832"/>
    <w:rsid w:val="007644AD"/>
    <w:rsid w:val="007646F6"/>
    <w:rsid w:val="00764B25"/>
    <w:rsid w:val="0076503D"/>
    <w:rsid w:val="00765340"/>
    <w:rsid w:val="0076537F"/>
    <w:rsid w:val="00765384"/>
    <w:rsid w:val="00765404"/>
    <w:rsid w:val="007655D5"/>
    <w:rsid w:val="007657AA"/>
    <w:rsid w:val="007669D8"/>
    <w:rsid w:val="00766C68"/>
    <w:rsid w:val="00767412"/>
    <w:rsid w:val="0077056F"/>
    <w:rsid w:val="007707D4"/>
    <w:rsid w:val="0077087B"/>
    <w:rsid w:val="00770AEF"/>
    <w:rsid w:val="00770F03"/>
    <w:rsid w:val="00770FB6"/>
    <w:rsid w:val="00771723"/>
    <w:rsid w:val="00771BA2"/>
    <w:rsid w:val="00771DE8"/>
    <w:rsid w:val="00772C27"/>
    <w:rsid w:val="00773FB2"/>
    <w:rsid w:val="0077410E"/>
    <w:rsid w:val="00774B6C"/>
    <w:rsid w:val="00774CDC"/>
    <w:rsid w:val="007756A6"/>
    <w:rsid w:val="00775AD7"/>
    <w:rsid w:val="00775D78"/>
    <w:rsid w:val="0077622B"/>
    <w:rsid w:val="007762D0"/>
    <w:rsid w:val="007763E6"/>
    <w:rsid w:val="00776F8F"/>
    <w:rsid w:val="0078032B"/>
    <w:rsid w:val="00780CF9"/>
    <w:rsid w:val="00780DD9"/>
    <w:rsid w:val="00780E52"/>
    <w:rsid w:val="007813AF"/>
    <w:rsid w:val="0078299E"/>
    <w:rsid w:val="00782BE5"/>
    <w:rsid w:val="00782FE4"/>
    <w:rsid w:val="00783F2F"/>
    <w:rsid w:val="0078490D"/>
    <w:rsid w:val="00784F3B"/>
    <w:rsid w:val="007854C6"/>
    <w:rsid w:val="00785C8A"/>
    <w:rsid w:val="00785D48"/>
    <w:rsid w:val="00785F65"/>
    <w:rsid w:val="0078607B"/>
    <w:rsid w:val="00786238"/>
    <w:rsid w:val="00786C09"/>
    <w:rsid w:val="007878E2"/>
    <w:rsid w:val="00787949"/>
    <w:rsid w:val="00787ACE"/>
    <w:rsid w:val="007904E9"/>
    <w:rsid w:val="00790945"/>
    <w:rsid w:val="0079097F"/>
    <w:rsid w:val="00791663"/>
    <w:rsid w:val="0079169F"/>
    <w:rsid w:val="0079224F"/>
    <w:rsid w:val="007927CB"/>
    <w:rsid w:val="00792A91"/>
    <w:rsid w:val="00792B0F"/>
    <w:rsid w:val="00792C91"/>
    <w:rsid w:val="00793135"/>
    <w:rsid w:val="007938E9"/>
    <w:rsid w:val="00793A2D"/>
    <w:rsid w:val="00794149"/>
    <w:rsid w:val="00794519"/>
    <w:rsid w:val="00794756"/>
    <w:rsid w:val="00794866"/>
    <w:rsid w:val="007954E2"/>
    <w:rsid w:val="00795DF1"/>
    <w:rsid w:val="00795E0C"/>
    <w:rsid w:val="00796162"/>
    <w:rsid w:val="0079672E"/>
    <w:rsid w:val="00797491"/>
    <w:rsid w:val="00797C70"/>
    <w:rsid w:val="00797CDB"/>
    <w:rsid w:val="00797D78"/>
    <w:rsid w:val="007A0285"/>
    <w:rsid w:val="007A0422"/>
    <w:rsid w:val="007A07D5"/>
    <w:rsid w:val="007A0E6B"/>
    <w:rsid w:val="007A0FD2"/>
    <w:rsid w:val="007A2009"/>
    <w:rsid w:val="007A2CC5"/>
    <w:rsid w:val="007A2DB8"/>
    <w:rsid w:val="007A4268"/>
    <w:rsid w:val="007A461B"/>
    <w:rsid w:val="007A49A1"/>
    <w:rsid w:val="007A631A"/>
    <w:rsid w:val="007A6C83"/>
    <w:rsid w:val="007A6FC5"/>
    <w:rsid w:val="007A7573"/>
    <w:rsid w:val="007A75EB"/>
    <w:rsid w:val="007A78E5"/>
    <w:rsid w:val="007A7BBB"/>
    <w:rsid w:val="007B09DE"/>
    <w:rsid w:val="007B0FE8"/>
    <w:rsid w:val="007B107E"/>
    <w:rsid w:val="007B12A7"/>
    <w:rsid w:val="007B1B72"/>
    <w:rsid w:val="007B1BDC"/>
    <w:rsid w:val="007B1E63"/>
    <w:rsid w:val="007B43F8"/>
    <w:rsid w:val="007B4A33"/>
    <w:rsid w:val="007B5530"/>
    <w:rsid w:val="007B584D"/>
    <w:rsid w:val="007B611B"/>
    <w:rsid w:val="007B62A2"/>
    <w:rsid w:val="007B6A35"/>
    <w:rsid w:val="007B6B17"/>
    <w:rsid w:val="007B6B49"/>
    <w:rsid w:val="007B6C04"/>
    <w:rsid w:val="007B6D7A"/>
    <w:rsid w:val="007B76AE"/>
    <w:rsid w:val="007B773A"/>
    <w:rsid w:val="007B7F14"/>
    <w:rsid w:val="007C15DA"/>
    <w:rsid w:val="007C1A86"/>
    <w:rsid w:val="007C212F"/>
    <w:rsid w:val="007C2497"/>
    <w:rsid w:val="007C41D4"/>
    <w:rsid w:val="007C49D5"/>
    <w:rsid w:val="007C4AC0"/>
    <w:rsid w:val="007C4E94"/>
    <w:rsid w:val="007C5044"/>
    <w:rsid w:val="007C53AE"/>
    <w:rsid w:val="007C55B8"/>
    <w:rsid w:val="007C6206"/>
    <w:rsid w:val="007C62F6"/>
    <w:rsid w:val="007C6BC7"/>
    <w:rsid w:val="007C74FB"/>
    <w:rsid w:val="007C759E"/>
    <w:rsid w:val="007C7631"/>
    <w:rsid w:val="007C7844"/>
    <w:rsid w:val="007C7AD3"/>
    <w:rsid w:val="007D025C"/>
    <w:rsid w:val="007D08BD"/>
    <w:rsid w:val="007D0E70"/>
    <w:rsid w:val="007D0FDF"/>
    <w:rsid w:val="007D1E43"/>
    <w:rsid w:val="007D2957"/>
    <w:rsid w:val="007D3173"/>
    <w:rsid w:val="007D3B01"/>
    <w:rsid w:val="007D3B2E"/>
    <w:rsid w:val="007D3D01"/>
    <w:rsid w:val="007D4B1B"/>
    <w:rsid w:val="007D4C72"/>
    <w:rsid w:val="007D4C9E"/>
    <w:rsid w:val="007D521D"/>
    <w:rsid w:val="007D5450"/>
    <w:rsid w:val="007D5CFC"/>
    <w:rsid w:val="007D5EE8"/>
    <w:rsid w:val="007D6B0D"/>
    <w:rsid w:val="007D704C"/>
    <w:rsid w:val="007D7F54"/>
    <w:rsid w:val="007E0577"/>
    <w:rsid w:val="007E0ED8"/>
    <w:rsid w:val="007E1074"/>
    <w:rsid w:val="007E155F"/>
    <w:rsid w:val="007E1C26"/>
    <w:rsid w:val="007E1F36"/>
    <w:rsid w:val="007E2937"/>
    <w:rsid w:val="007E30A6"/>
    <w:rsid w:val="007E339C"/>
    <w:rsid w:val="007E377D"/>
    <w:rsid w:val="007E39F7"/>
    <w:rsid w:val="007E4B5F"/>
    <w:rsid w:val="007E50DF"/>
    <w:rsid w:val="007E521C"/>
    <w:rsid w:val="007E5946"/>
    <w:rsid w:val="007E5BEA"/>
    <w:rsid w:val="007E6812"/>
    <w:rsid w:val="007E6ACE"/>
    <w:rsid w:val="007E768B"/>
    <w:rsid w:val="007E7694"/>
    <w:rsid w:val="007E7B10"/>
    <w:rsid w:val="007E7E1D"/>
    <w:rsid w:val="007E7EA1"/>
    <w:rsid w:val="007F02D0"/>
    <w:rsid w:val="007F02F6"/>
    <w:rsid w:val="007F0C84"/>
    <w:rsid w:val="007F0EB8"/>
    <w:rsid w:val="007F10E7"/>
    <w:rsid w:val="007F12EE"/>
    <w:rsid w:val="007F14A1"/>
    <w:rsid w:val="007F209E"/>
    <w:rsid w:val="007F2964"/>
    <w:rsid w:val="007F2C2B"/>
    <w:rsid w:val="007F2CFE"/>
    <w:rsid w:val="007F39F0"/>
    <w:rsid w:val="007F48A4"/>
    <w:rsid w:val="007F595C"/>
    <w:rsid w:val="007F5A5D"/>
    <w:rsid w:val="007F686A"/>
    <w:rsid w:val="007F7E3E"/>
    <w:rsid w:val="007F7F6C"/>
    <w:rsid w:val="00800904"/>
    <w:rsid w:val="00801052"/>
    <w:rsid w:val="00801327"/>
    <w:rsid w:val="00801496"/>
    <w:rsid w:val="008015CA"/>
    <w:rsid w:val="00801668"/>
    <w:rsid w:val="00801995"/>
    <w:rsid w:val="008024CF"/>
    <w:rsid w:val="008025AB"/>
    <w:rsid w:val="008027C7"/>
    <w:rsid w:val="00802BE1"/>
    <w:rsid w:val="008035F7"/>
    <w:rsid w:val="00803735"/>
    <w:rsid w:val="0080527E"/>
    <w:rsid w:val="00805645"/>
    <w:rsid w:val="00805768"/>
    <w:rsid w:val="00805796"/>
    <w:rsid w:val="0080766B"/>
    <w:rsid w:val="008078B3"/>
    <w:rsid w:val="008078BE"/>
    <w:rsid w:val="00810194"/>
    <w:rsid w:val="008102D3"/>
    <w:rsid w:val="0081078C"/>
    <w:rsid w:val="008116AD"/>
    <w:rsid w:val="00811822"/>
    <w:rsid w:val="00811AE3"/>
    <w:rsid w:val="00811BA2"/>
    <w:rsid w:val="0081216F"/>
    <w:rsid w:val="0081224B"/>
    <w:rsid w:val="00812CD7"/>
    <w:rsid w:val="00812D59"/>
    <w:rsid w:val="00813039"/>
    <w:rsid w:val="00813110"/>
    <w:rsid w:val="0081334D"/>
    <w:rsid w:val="00813AEC"/>
    <w:rsid w:val="00814B43"/>
    <w:rsid w:val="00815233"/>
    <w:rsid w:val="008152DC"/>
    <w:rsid w:val="008154D9"/>
    <w:rsid w:val="008158C0"/>
    <w:rsid w:val="00815ABE"/>
    <w:rsid w:val="00815FA1"/>
    <w:rsid w:val="00816861"/>
    <w:rsid w:val="008175BD"/>
    <w:rsid w:val="00820147"/>
    <w:rsid w:val="008203E6"/>
    <w:rsid w:val="0082086A"/>
    <w:rsid w:val="00820B5D"/>
    <w:rsid w:val="00821C04"/>
    <w:rsid w:val="00821C60"/>
    <w:rsid w:val="0082228B"/>
    <w:rsid w:val="00822392"/>
    <w:rsid w:val="00822C34"/>
    <w:rsid w:val="00823770"/>
    <w:rsid w:val="00824134"/>
    <w:rsid w:val="00824151"/>
    <w:rsid w:val="0082527E"/>
    <w:rsid w:val="0082540C"/>
    <w:rsid w:val="0082540E"/>
    <w:rsid w:val="008254CD"/>
    <w:rsid w:val="00825F39"/>
    <w:rsid w:val="00826665"/>
    <w:rsid w:val="00826A7D"/>
    <w:rsid w:val="00826D6D"/>
    <w:rsid w:val="008271C9"/>
    <w:rsid w:val="00827314"/>
    <w:rsid w:val="0082785F"/>
    <w:rsid w:val="00827FEE"/>
    <w:rsid w:val="0083025F"/>
    <w:rsid w:val="00830391"/>
    <w:rsid w:val="0083043D"/>
    <w:rsid w:val="00830817"/>
    <w:rsid w:val="00830958"/>
    <w:rsid w:val="00830F83"/>
    <w:rsid w:val="00832FEA"/>
    <w:rsid w:val="008331EF"/>
    <w:rsid w:val="008336DD"/>
    <w:rsid w:val="00833F80"/>
    <w:rsid w:val="008344EA"/>
    <w:rsid w:val="008344F7"/>
    <w:rsid w:val="00834AF3"/>
    <w:rsid w:val="0083563E"/>
    <w:rsid w:val="00835807"/>
    <w:rsid w:val="00835A7D"/>
    <w:rsid w:val="00836283"/>
    <w:rsid w:val="00836A04"/>
    <w:rsid w:val="00836D22"/>
    <w:rsid w:val="00837B17"/>
    <w:rsid w:val="00837BA8"/>
    <w:rsid w:val="00840539"/>
    <w:rsid w:val="008405D3"/>
    <w:rsid w:val="0084075F"/>
    <w:rsid w:val="008418D7"/>
    <w:rsid w:val="00841E19"/>
    <w:rsid w:val="00842151"/>
    <w:rsid w:val="00843461"/>
    <w:rsid w:val="0084362C"/>
    <w:rsid w:val="008438B8"/>
    <w:rsid w:val="00843AF2"/>
    <w:rsid w:val="00843B20"/>
    <w:rsid w:val="008441DC"/>
    <w:rsid w:val="008444CA"/>
    <w:rsid w:val="0084457E"/>
    <w:rsid w:val="008453C6"/>
    <w:rsid w:val="0084606A"/>
    <w:rsid w:val="008460E8"/>
    <w:rsid w:val="00846519"/>
    <w:rsid w:val="00846BE0"/>
    <w:rsid w:val="00847780"/>
    <w:rsid w:val="00847D6B"/>
    <w:rsid w:val="00850473"/>
    <w:rsid w:val="0085098B"/>
    <w:rsid w:val="008512D2"/>
    <w:rsid w:val="008515C2"/>
    <w:rsid w:val="00852316"/>
    <w:rsid w:val="00852C52"/>
    <w:rsid w:val="0085314F"/>
    <w:rsid w:val="008532B8"/>
    <w:rsid w:val="00853AE1"/>
    <w:rsid w:val="00853F10"/>
    <w:rsid w:val="00854421"/>
    <w:rsid w:val="00854B69"/>
    <w:rsid w:val="008551D4"/>
    <w:rsid w:val="00855A42"/>
    <w:rsid w:val="00857278"/>
    <w:rsid w:val="0085752F"/>
    <w:rsid w:val="0085774F"/>
    <w:rsid w:val="00857A57"/>
    <w:rsid w:val="00860E1F"/>
    <w:rsid w:val="00861987"/>
    <w:rsid w:val="008621EC"/>
    <w:rsid w:val="008629D7"/>
    <w:rsid w:val="00862BC1"/>
    <w:rsid w:val="00864513"/>
    <w:rsid w:val="00864855"/>
    <w:rsid w:val="008649C2"/>
    <w:rsid w:val="008651F6"/>
    <w:rsid w:val="008652C2"/>
    <w:rsid w:val="008656A3"/>
    <w:rsid w:val="008656DE"/>
    <w:rsid w:val="008656F8"/>
    <w:rsid w:val="008658C4"/>
    <w:rsid w:val="00865A77"/>
    <w:rsid w:val="00865CC8"/>
    <w:rsid w:val="00866503"/>
    <w:rsid w:val="008666CF"/>
    <w:rsid w:val="00866A55"/>
    <w:rsid w:val="00866C0F"/>
    <w:rsid w:val="00866F6C"/>
    <w:rsid w:val="0086767F"/>
    <w:rsid w:val="0086786C"/>
    <w:rsid w:val="00867B71"/>
    <w:rsid w:val="00867D04"/>
    <w:rsid w:val="00867E43"/>
    <w:rsid w:val="008700B3"/>
    <w:rsid w:val="00870C5E"/>
    <w:rsid w:val="00871822"/>
    <w:rsid w:val="008719AE"/>
    <w:rsid w:val="00871C04"/>
    <w:rsid w:val="00871C0C"/>
    <w:rsid w:val="00871E80"/>
    <w:rsid w:val="00872374"/>
    <w:rsid w:val="00872A96"/>
    <w:rsid w:val="00872CC1"/>
    <w:rsid w:val="00873382"/>
    <w:rsid w:val="00873391"/>
    <w:rsid w:val="008735BC"/>
    <w:rsid w:val="008736AE"/>
    <w:rsid w:val="00873A9E"/>
    <w:rsid w:val="00874232"/>
    <w:rsid w:val="00874267"/>
    <w:rsid w:val="00874924"/>
    <w:rsid w:val="00875A77"/>
    <w:rsid w:val="00875AA2"/>
    <w:rsid w:val="00875B20"/>
    <w:rsid w:val="00875B35"/>
    <w:rsid w:val="0087600A"/>
    <w:rsid w:val="00876108"/>
    <w:rsid w:val="0087678D"/>
    <w:rsid w:val="00876FAA"/>
    <w:rsid w:val="00877454"/>
    <w:rsid w:val="00877FEA"/>
    <w:rsid w:val="008800BA"/>
    <w:rsid w:val="0088010D"/>
    <w:rsid w:val="00880B07"/>
    <w:rsid w:val="00882296"/>
    <w:rsid w:val="0088366C"/>
    <w:rsid w:val="008837D5"/>
    <w:rsid w:val="00885D1A"/>
    <w:rsid w:val="00886330"/>
    <w:rsid w:val="00886C00"/>
    <w:rsid w:val="00887822"/>
    <w:rsid w:val="008879F7"/>
    <w:rsid w:val="00887A84"/>
    <w:rsid w:val="0089013C"/>
    <w:rsid w:val="00890633"/>
    <w:rsid w:val="008907DF"/>
    <w:rsid w:val="00891E7E"/>
    <w:rsid w:val="008929DB"/>
    <w:rsid w:val="00892EED"/>
    <w:rsid w:val="008934C3"/>
    <w:rsid w:val="00893539"/>
    <w:rsid w:val="00893A4B"/>
    <w:rsid w:val="00894CE3"/>
    <w:rsid w:val="00894E37"/>
    <w:rsid w:val="00894F06"/>
    <w:rsid w:val="008956AF"/>
    <w:rsid w:val="00895833"/>
    <w:rsid w:val="00895F5A"/>
    <w:rsid w:val="00896241"/>
    <w:rsid w:val="008964A4"/>
    <w:rsid w:val="008969E9"/>
    <w:rsid w:val="00897C5F"/>
    <w:rsid w:val="00897C6B"/>
    <w:rsid w:val="008A06A3"/>
    <w:rsid w:val="008A070A"/>
    <w:rsid w:val="008A0B45"/>
    <w:rsid w:val="008A1C0A"/>
    <w:rsid w:val="008A2205"/>
    <w:rsid w:val="008A3E50"/>
    <w:rsid w:val="008A501D"/>
    <w:rsid w:val="008A5CFD"/>
    <w:rsid w:val="008A63FB"/>
    <w:rsid w:val="008A65D1"/>
    <w:rsid w:val="008A7090"/>
    <w:rsid w:val="008A7451"/>
    <w:rsid w:val="008A7CCB"/>
    <w:rsid w:val="008B1752"/>
    <w:rsid w:val="008B1938"/>
    <w:rsid w:val="008B1A2E"/>
    <w:rsid w:val="008B2265"/>
    <w:rsid w:val="008B25FA"/>
    <w:rsid w:val="008B295F"/>
    <w:rsid w:val="008B2A56"/>
    <w:rsid w:val="008B31D2"/>
    <w:rsid w:val="008B34A9"/>
    <w:rsid w:val="008B3516"/>
    <w:rsid w:val="008B393B"/>
    <w:rsid w:val="008B395A"/>
    <w:rsid w:val="008B3C90"/>
    <w:rsid w:val="008B431C"/>
    <w:rsid w:val="008B45FA"/>
    <w:rsid w:val="008B472E"/>
    <w:rsid w:val="008B5043"/>
    <w:rsid w:val="008B531C"/>
    <w:rsid w:val="008B53FD"/>
    <w:rsid w:val="008B5B86"/>
    <w:rsid w:val="008B5CE3"/>
    <w:rsid w:val="008B5E70"/>
    <w:rsid w:val="008B6CF6"/>
    <w:rsid w:val="008B6F72"/>
    <w:rsid w:val="008B73FA"/>
    <w:rsid w:val="008B7669"/>
    <w:rsid w:val="008B76B0"/>
    <w:rsid w:val="008B777A"/>
    <w:rsid w:val="008C00B6"/>
    <w:rsid w:val="008C00C8"/>
    <w:rsid w:val="008C0736"/>
    <w:rsid w:val="008C07FD"/>
    <w:rsid w:val="008C1327"/>
    <w:rsid w:val="008C2B47"/>
    <w:rsid w:val="008C2E25"/>
    <w:rsid w:val="008C31E7"/>
    <w:rsid w:val="008C324E"/>
    <w:rsid w:val="008C380E"/>
    <w:rsid w:val="008C38D6"/>
    <w:rsid w:val="008C38EA"/>
    <w:rsid w:val="008C4624"/>
    <w:rsid w:val="008C5292"/>
    <w:rsid w:val="008C654C"/>
    <w:rsid w:val="008C749F"/>
    <w:rsid w:val="008C74BD"/>
    <w:rsid w:val="008C7BC8"/>
    <w:rsid w:val="008D00E9"/>
    <w:rsid w:val="008D071F"/>
    <w:rsid w:val="008D19DE"/>
    <w:rsid w:val="008D2439"/>
    <w:rsid w:val="008D24E3"/>
    <w:rsid w:val="008D2679"/>
    <w:rsid w:val="008D2FC8"/>
    <w:rsid w:val="008D45B7"/>
    <w:rsid w:val="008D46FD"/>
    <w:rsid w:val="008D4E79"/>
    <w:rsid w:val="008D51C7"/>
    <w:rsid w:val="008D5DC3"/>
    <w:rsid w:val="008D5F2D"/>
    <w:rsid w:val="008D7242"/>
    <w:rsid w:val="008D776D"/>
    <w:rsid w:val="008D7ED6"/>
    <w:rsid w:val="008E09CC"/>
    <w:rsid w:val="008E147D"/>
    <w:rsid w:val="008E1492"/>
    <w:rsid w:val="008E24CF"/>
    <w:rsid w:val="008E28A8"/>
    <w:rsid w:val="008E3069"/>
    <w:rsid w:val="008E30EC"/>
    <w:rsid w:val="008E354B"/>
    <w:rsid w:val="008E3B23"/>
    <w:rsid w:val="008E3E36"/>
    <w:rsid w:val="008E50D8"/>
    <w:rsid w:val="008E515C"/>
    <w:rsid w:val="008E5375"/>
    <w:rsid w:val="008E5844"/>
    <w:rsid w:val="008E684F"/>
    <w:rsid w:val="008E6C4F"/>
    <w:rsid w:val="008E6CD9"/>
    <w:rsid w:val="008E70EA"/>
    <w:rsid w:val="008E7BE1"/>
    <w:rsid w:val="008F01AF"/>
    <w:rsid w:val="008F0241"/>
    <w:rsid w:val="008F04D6"/>
    <w:rsid w:val="008F08C7"/>
    <w:rsid w:val="008F0918"/>
    <w:rsid w:val="008F0966"/>
    <w:rsid w:val="008F0DD0"/>
    <w:rsid w:val="008F12B0"/>
    <w:rsid w:val="008F1CE5"/>
    <w:rsid w:val="008F1D28"/>
    <w:rsid w:val="008F21AF"/>
    <w:rsid w:val="008F25C8"/>
    <w:rsid w:val="008F2E45"/>
    <w:rsid w:val="008F3B06"/>
    <w:rsid w:val="008F3DDC"/>
    <w:rsid w:val="008F427B"/>
    <w:rsid w:val="008F4363"/>
    <w:rsid w:val="008F48F4"/>
    <w:rsid w:val="008F4E97"/>
    <w:rsid w:val="008F5E0D"/>
    <w:rsid w:val="008F605F"/>
    <w:rsid w:val="008F67B1"/>
    <w:rsid w:val="008F67EB"/>
    <w:rsid w:val="008F69DC"/>
    <w:rsid w:val="008F6DD6"/>
    <w:rsid w:val="008F6EB2"/>
    <w:rsid w:val="008F72CB"/>
    <w:rsid w:val="008F7653"/>
    <w:rsid w:val="008F7853"/>
    <w:rsid w:val="0090044B"/>
    <w:rsid w:val="00900761"/>
    <w:rsid w:val="00900814"/>
    <w:rsid w:val="00901513"/>
    <w:rsid w:val="009019B8"/>
    <w:rsid w:val="00901B19"/>
    <w:rsid w:val="00901CAC"/>
    <w:rsid w:val="00902069"/>
    <w:rsid w:val="009029FB"/>
    <w:rsid w:val="00902C6C"/>
    <w:rsid w:val="00903E0E"/>
    <w:rsid w:val="0090461C"/>
    <w:rsid w:val="00905894"/>
    <w:rsid w:val="00905CB2"/>
    <w:rsid w:val="00905F43"/>
    <w:rsid w:val="0090628B"/>
    <w:rsid w:val="0090650E"/>
    <w:rsid w:val="009073D7"/>
    <w:rsid w:val="00907C6E"/>
    <w:rsid w:val="00910714"/>
    <w:rsid w:val="0091092B"/>
    <w:rsid w:val="00910A4A"/>
    <w:rsid w:val="00910D8F"/>
    <w:rsid w:val="00911099"/>
    <w:rsid w:val="0091128F"/>
    <w:rsid w:val="009112A3"/>
    <w:rsid w:val="00911511"/>
    <w:rsid w:val="00911BBE"/>
    <w:rsid w:val="00911C8D"/>
    <w:rsid w:val="00912811"/>
    <w:rsid w:val="00912977"/>
    <w:rsid w:val="00913CBC"/>
    <w:rsid w:val="00913FBC"/>
    <w:rsid w:val="0091420B"/>
    <w:rsid w:val="00914486"/>
    <w:rsid w:val="009149E1"/>
    <w:rsid w:val="009154DB"/>
    <w:rsid w:val="009157C1"/>
    <w:rsid w:val="00915CDE"/>
    <w:rsid w:val="009162ED"/>
    <w:rsid w:val="00916D19"/>
    <w:rsid w:val="00916F7A"/>
    <w:rsid w:val="00916F98"/>
    <w:rsid w:val="0091717B"/>
    <w:rsid w:val="00917986"/>
    <w:rsid w:val="00917B91"/>
    <w:rsid w:val="0092014E"/>
    <w:rsid w:val="0092022C"/>
    <w:rsid w:val="00920701"/>
    <w:rsid w:val="00920726"/>
    <w:rsid w:val="00920862"/>
    <w:rsid w:val="0092098B"/>
    <w:rsid w:val="00920BFD"/>
    <w:rsid w:val="00920DF5"/>
    <w:rsid w:val="00920F4E"/>
    <w:rsid w:val="00921021"/>
    <w:rsid w:val="00921A7D"/>
    <w:rsid w:val="00921FF3"/>
    <w:rsid w:val="00922625"/>
    <w:rsid w:val="00922840"/>
    <w:rsid w:val="00922AC0"/>
    <w:rsid w:val="0092300C"/>
    <w:rsid w:val="009231D7"/>
    <w:rsid w:val="009237A7"/>
    <w:rsid w:val="00924A3F"/>
    <w:rsid w:val="00924D03"/>
    <w:rsid w:val="00925170"/>
    <w:rsid w:val="00925992"/>
    <w:rsid w:val="00925AA5"/>
    <w:rsid w:val="00926F6D"/>
    <w:rsid w:val="00930431"/>
    <w:rsid w:val="00931916"/>
    <w:rsid w:val="00931BA1"/>
    <w:rsid w:val="00932200"/>
    <w:rsid w:val="00932E55"/>
    <w:rsid w:val="00932E79"/>
    <w:rsid w:val="0093316E"/>
    <w:rsid w:val="00933604"/>
    <w:rsid w:val="00933847"/>
    <w:rsid w:val="009338EA"/>
    <w:rsid w:val="00933A7A"/>
    <w:rsid w:val="00933B98"/>
    <w:rsid w:val="00933F9C"/>
    <w:rsid w:val="009340DC"/>
    <w:rsid w:val="009341E4"/>
    <w:rsid w:val="00934F35"/>
    <w:rsid w:val="009351D8"/>
    <w:rsid w:val="00935220"/>
    <w:rsid w:val="009353E9"/>
    <w:rsid w:val="009356C3"/>
    <w:rsid w:val="00935712"/>
    <w:rsid w:val="009358F9"/>
    <w:rsid w:val="0093616E"/>
    <w:rsid w:val="00936184"/>
    <w:rsid w:val="009363AA"/>
    <w:rsid w:val="009364C0"/>
    <w:rsid w:val="00936BE7"/>
    <w:rsid w:val="009373C0"/>
    <w:rsid w:val="00937B21"/>
    <w:rsid w:val="00937BBF"/>
    <w:rsid w:val="0094056F"/>
    <w:rsid w:val="009405EB"/>
    <w:rsid w:val="00940C13"/>
    <w:rsid w:val="0094144F"/>
    <w:rsid w:val="009417D0"/>
    <w:rsid w:val="00941CD8"/>
    <w:rsid w:val="00941D9E"/>
    <w:rsid w:val="00942301"/>
    <w:rsid w:val="009425E9"/>
    <w:rsid w:val="00943689"/>
    <w:rsid w:val="00943888"/>
    <w:rsid w:val="00943CE4"/>
    <w:rsid w:val="00944014"/>
    <w:rsid w:val="009446F0"/>
    <w:rsid w:val="00945369"/>
    <w:rsid w:val="00945436"/>
    <w:rsid w:val="00945623"/>
    <w:rsid w:val="0094585C"/>
    <w:rsid w:val="00945BAB"/>
    <w:rsid w:val="0094637B"/>
    <w:rsid w:val="00946BD4"/>
    <w:rsid w:val="00947038"/>
    <w:rsid w:val="00947062"/>
    <w:rsid w:val="00947100"/>
    <w:rsid w:val="00947637"/>
    <w:rsid w:val="0094778A"/>
    <w:rsid w:val="0094797D"/>
    <w:rsid w:val="009502A7"/>
    <w:rsid w:val="009506B2"/>
    <w:rsid w:val="00950D91"/>
    <w:rsid w:val="009513E3"/>
    <w:rsid w:val="0095179A"/>
    <w:rsid w:val="00952201"/>
    <w:rsid w:val="00952498"/>
    <w:rsid w:val="00952B36"/>
    <w:rsid w:val="0095331A"/>
    <w:rsid w:val="009534AA"/>
    <w:rsid w:val="00953AEF"/>
    <w:rsid w:val="00953C5E"/>
    <w:rsid w:val="009549DD"/>
    <w:rsid w:val="00955093"/>
    <w:rsid w:val="009550C1"/>
    <w:rsid w:val="00955B38"/>
    <w:rsid w:val="00956A52"/>
    <w:rsid w:val="00956E72"/>
    <w:rsid w:val="0095707B"/>
    <w:rsid w:val="009578D6"/>
    <w:rsid w:val="00957AFC"/>
    <w:rsid w:val="009600AE"/>
    <w:rsid w:val="009601CA"/>
    <w:rsid w:val="00960E54"/>
    <w:rsid w:val="00960EA5"/>
    <w:rsid w:val="009612A0"/>
    <w:rsid w:val="009612EE"/>
    <w:rsid w:val="0096186B"/>
    <w:rsid w:val="00961D69"/>
    <w:rsid w:val="00962382"/>
    <w:rsid w:val="00962F8C"/>
    <w:rsid w:val="0096387A"/>
    <w:rsid w:val="00964640"/>
    <w:rsid w:val="00964857"/>
    <w:rsid w:val="0096492C"/>
    <w:rsid w:val="00964A01"/>
    <w:rsid w:val="00964A6F"/>
    <w:rsid w:val="00964BE1"/>
    <w:rsid w:val="00965225"/>
    <w:rsid w:val="009656E0"/>
    <w:rsid w:val="009658FE"/>
    <w:rsid w:val="00965B13"/>
    <w:rsid w:val="00966DC4"/>
    <w:rsid w:val="00966DF0"/>
    <w:rsid w:val="00966FD9"/>
    <w:rsid w:val="0096727E"/>
    <w:rsid w:val="0096781D"/>
    <w:rsid w:val="009702AA"/>
    <w:rsid w:val="00970318"/>
    <w:rsid w:val="0097189C"/>
    <w:rsid w:val="009724BC"/>
    <w:rsid w:val="0097255E"/>
    <w:rsid w:val="00972AE7"/>
    <w:rsid w:val="00972FD3"/>
    <w:rsid w:val="0097344A"/>
    <w:rsid w:val="0097365A"/>
    <w:rsid w:val="00973FB8"/>
    <w:rsid w:val="009742FB"/>
    <w:rsid w:val="0097493C"/>
    <w:rsid w:val="00974A06"/>
    <w:rsid w:val="00975993"/>
    <w:rsid w:val="00975A63"/>
    <w:rsid w:val="00975DA4"/>
    <w:rsid w:val="00976499"/>
    <w:rsid w:val="009778C7"/>
    <w:rsid w:val="009778D1"/>
    <w:rsid w:val="00977D07"/>
    <w:rsid w:val="00977E2A"/>
    <w:rsid w:val="00977F73"/>
    <w:rsid w:val="00977FAF"/>
    <w:rsid w:val="009803D4"/>
    <w:rsid w:val="00980468"/>
    <w:rsid w:val="00980725"/>
    <w:rsid w:val="0098091A"/>
    <w:rsid w:val="009809FC"/>
    <w:rsid w:val="00981B7F"/>
    <w:rsid w:val="00982E3F"/>
    <w:rsid w:val="0098315D"/>
    <w:rsid w:val="00983825"/>
    <w:rsid w:val="00984344"/>
    <w:rsid w:val="0098479E"/>
    <w:rsid w:val="00984DFF"/>
    <w:rsid w:val="009854B6"/>
    <w:rsid w:val="0098577B"/>
    <w:rsid w:val="00985A1F"/>
    <w:rsid w:val="00985B9A"/>
    <w:rsid w:val="00986441"/>
    <w:rsid w:val="00986B83"/>
    <w:rsid w:val="00990816"/>
    <w:rsid w:val="00990EE4"/>
    <w:rsid w:val="0099160E"/>
    <w:rsid w:val="00991697"/>
    <w:rsid w:val="0099263B"/>
    <w:rsid w:val="0099280C"/>
    <w:rsid w:val="00992AF3"/>
    <w:rsid w:val="00992C71"/>
    <w:rsid w:val="00993434"/>
    <w:rsid w:val="0099384C"/>
    <w:rsid w:val="00993C21"/>
    <w:rsid w:val="00993D00"/>
    <w:rsid w:val="0099404A"/>
    <w:rsid w:val="00994762"/>
    <w:rsid w:val="00994A88"/>
    <w:rsid w:val="00995576"/>
    <w:rsid w:val="00995628"/>
    <w:rsid w:val="00995AC4"/>
    <w:rsid w:val="00995E26"/>
    <w:rsid w:val="009970D1"/>
    <w:rsid w:val="00997619"/>
    <w:rsid w:val="00997B46"/>
    <w:rsid w:val="00997CF0"/>
    <w:rsid w:val="009A00AC"/>
    <w:rsid w:val="009A02A5"/>
    <w:rsid w:val="009A0938"/>
    <w:rsid w:val="009A0A61"/>
    <w:rsid w:val="009A1477"/>
    <w:rsid w:val="009A19ED"/>
    <w:rsid w:val="009A1A43"/>
    <w:rsid w:val="009A264E"/>
    <w:rsid w:val="009A2A67"/>
    <w:rsid w:val="009A324D"/>
    <w:rsid w:val="009A387C"/>
    <w:rsid w:val="009A49F7"/>
    <w:rsid w:val="009A4BB2"/>
    <w:rsid w:val="009A51FA"/>
    <w:rsid w:val="009A54D3"/>
    <w:rsid w:val="009A650C"/>
    <w:rsid w:val="009A68FB"/>
    <w:rsid w:val="009A6C9E"/>
    <w:rsid w:val="009A7164"/>
    <w:rsid w:val="009A736C"/>
    <w:rsid w:val="009A75DB"/>
    <w:rsid w:val="009A7DD1"/>
    <w:rsid w:val="009A7F82"/>
    <w:rsid w:val="009B07C2"/>
    <w:rsid w:val="009B0A1E"/>
    <w:rsid w:val="009B1D28"/>
    <w:rsid w:val="009B1F9E"/>
    <w:rsid w:val="009B226D"/>
    <w:rsid w:val="009B3655"/>
    <w:rsid w:val="009B3B28"/>
    <w:rsid w:val="009B45E2"/>
    <w:rsid w:val="009B4E34"/>
    <w:rsid w:val="009B5880"/>
    <w:rsid w:val="009B5A1D"/>
    <w:rsid w:val="009B5E34"/>
    <w:rsid w:val="009B61F3"/>
    <w:rsid w:val="009B64F4"/>
    <w:rsid w:val="009B670D"/>
    <w:rsid w:val="009B77DA"/>
    <w:rsid w:val="009B7DB5"/>
    <w:rsid w:val="009C0630"/>
    <w:rsid w:val="009C0689"/>
    <w:rsid w:val="009C06F4"/>
    <w:rsid w:val="009C0DDF"/>
    <w:rsid w:val="009C11D4"/>
    <w:rsid w:val="009C1213"/>
    <w:rsid w:val="009C12F7"/>
    <w:rsid w:val="009C13E2"/>
    <w:rsid w:val="009C1ADA"/>
    <w:rsid w:val="009C1D39"/>
    <w:rsid w:val="009C1EEB"/>
    <w:rsid w:val="009C20C6"/>
    <w:rsid w:val="009C29D9"/>
    <w:rsid w:val="009C2C0F"/>
    <w:rsid w:val="009C350A"/>
    <w:rsid w:val="009C4A80"/>
    <w:rsid w:val="009C4C44"/>
    <w:rsid w:val="009C4CA3"/>
    <w:rsid w:val="009C4D6B"/>
    <w:rsid w:val="009C55A6"/>
    <w:rsid w:val="009C56C5"/>
    <w:rsid w:val="009C5BC7"/>
    <w:rsid w:val="009C6990"/>
    <w:rsid w:val="009C6A3F"/>
    <w:rsid w:val="009C6B90"/>
    <w:rsid w:val="009C6EF1"/>
    <w:rsid w:val="009C7485"/>
    <w:rsid w:val="009C76A5"/>
    <w:rsid w:val="009C7900"/>
    <w:rsid w:val="009D0015"/>
    <w:rsid w:val="009D063D"/>
    <w:rsid w:val="009D20AF"/>
    <w:rsid w:val="009D24D8"/>
    <w:rsid w:val="009D28A3"/>
    <w:rsid w:val="009D2F9B"/>
    <w:rsid w:val="009D2FF7"/>
    <w:rsid w:val="009D308B"/>
    <w:rsid w:val="009D3693"/>
    <w:rsid w:val="009D3A49"/>
    <w:rsid w:val="009D3FB3"/>
    <w:rsid w:val="009D40E6"/>
    <w:rsid w:val="009D4195"/>
    <w:rsid w:val="009D5642"/>
    <w:rsid w:val="009D5647"/>
    <w:rsid w:val="009D5795"/>
    <w:rsid w:val="009D57B4"/>
    <w:rsid w:val="009D59C5"/>
    <w:rsid w:val="009D5DDA"/>
    <w:rsid w:val="009D5ED9"/>
    <w:rsid w:val="009D5F31"/>
    <w:rsid w:val="009D5F7D"/>
    <w:rsid w:val="009D638E"/>
    <w:rsid w:val="009D680F"/>
    <w:rsid w:val="009D6A67"/>
    <w:rsid w:val="009D6CA7"/>
    <w:rsid w:val="009D6CBB"/>
    <w:rsid w:val="009D7586"/>
    <w:rsid w:val="009E01E8"/>
    <w:rsid w:val="009E061F"/>
    <w:rsid w:val="009E0BA1"/>
    <w:rsid w:val="009E1782"/>
    <w:rsid w:val="009E1812"/>
    <w:rsid w:val="009E1D57"/>
    <w:rsid w:val="009E211D"/>
    <w:rsid w:val="009E3BF8"/>
    <w:rsid w:val="009E3C40"/>
    <w:rsid w:val="009E414E"/>
    <w:rsid w:val="009E4405"/>
    <w:rsid w:val="009E4675"/>
    <w:rsid w:val="009E4676"/>
    <w:rsid w:val="009E4A4C"/>
    <w:rsid w:val="009E4CA4"/>
    <w:rsid w:val="009E5263"/>
    <w:rsid w:val="009E52B8"/>
    <w:rsid w:val="009E59F7"/>
    <w:rsid w:val="009E5FAD"/>
    <w:rsid w:val="009E657A"/>
    <w:rsid w:val="009E68CD"/>
    <w:rsid w:val="009E6F82"/>
    <w:rsid w:val="009E6FB9"/>
    <w:rsid w:val="009E74FC"/>
    <w:rsid w:val="009E7D4E"/>
    <w:rsid w:val="009F04EF"/>
    <w:rsid w:val="009F0623"/>
    <w:rsid w:val="009F0B11"/>
    <w:rsid w:val="009F0EF9"/>
    <w:rsid w:val="009F1F3F"/>
    <w:rsid w:val="009F2190"/>
    <w:rsid w:val="009F3518"/>
    <w:rsid w:val="009F3CDD"/>
    <w:rsid w:val="009F52C4"/>
    <w:rsid w:val="009F548F"/>
    <w:rsid w:val="009F5ED8"/>
    <w:rsid w:val="009F6724"/>
    <w:rsid w:val="009F7095"/>
    <w:rsid w:val="00A00230"/>
    <w:rsid w:val="00A004A1"/>
    <w:rsid w:val="00A00B82"/>
    <w:rsid w:val="00A00C41"/>
    <w:rsid w:val="00A00D3F"/>
    <w:rsid w:val="00A00FDD"/>
    <w:rsid w:val="00A016E2"/>
    <w:rsid w:val="00A0198D"/>
    <w:rsid w:val="00A020FE"/>
    <w:rsid w:val="00A02683"/>
    <w:rsid w:val="00A02695"/>
    <w:rsid w:val="00A03021"/>
    <w:rsid w:val="00A0362C"/>
    <w:rsid w:val="00A03A7B"/>
    <w:rsid w:val="00A0450E"/>
    <w:rsid w:val="00A0473B"/>
    <w:rsid w:val="00A04A8C"/>
    <w:rsid w:val="00A051AC"/>
    <w:rsid w:val="00A05352"/>
    <w:rsid w:val="00A05655"/>
    <w:rsid w:val="00A05BC5"/>
    <w:rsid w:val="00A060D9"/>
    <w:rsid w:val="00A068D8"/>
    <w:rsid w:val="00A06E73"/>
    <w:rsid w:val="00A072D6"/>
    <w:rsid w:val="00A07346"/>
    <w:rsid w:val="00A0755B"/>
    <w:rsid w:val="00A076E0"/>
    <w:rsid w:val="00A0787F"/>
    <w:rsid w:val="00A1090D"/>
    <w:rsid w:val="00A117B4"/>
    <w:rsid w:val="00A11AF3"/>
    <w:rsid w:val="00A125A8"/>
    <w:rsid w:val="00A12926"/>
    <w:rsid w:val="00A133AC"/>
    <w:rsid w:val="00A138D5"/>
    <w:rsid w:val="00A14371"/>
    <w:rsid w:val="00A144F1"/>
    <w:rsid w:val="00A146CC"/>
    <w:rsid w:val="00A14967"/>
    <w:rsid w:val="00A15130"/>
    <w:rsid w:val="00A1584B"/>
    <w:rsid w:val="00A15D64"/>
    <w:rsid w:val="00A15D8D"/>
    <w:rsid w:val="00A1626F"/>
    <w:rsid w:val="00A167FB"/>
    <w:rsid w:val="00A174FA"/>
    <w:rsid w:val="00A17675"/>
    <w:rsid w:val="00A20483"/>
    <w:rsid w:val="00A20589"/>
    <w:rsid w:val="00A206FF"/>
    <w:rsid w:val="00A20D90"/>
    <w:rsid w:val="00A217D4"/>
    <w:rsid w:val="00A21C3A"/>
    <w:rsid w:val="00A221DE"/>
    <w:rsid w:val="00A22632"/>
    <w:rsid w:val="00A2266A"/>
    <w:rsid w:val="00A227B5"/>
    <w:rsid w:val="00A22B3A"/>
    <w:rsid w:val="00A22C33"/>
    <w:rsid w:val="00A22D54"/>
    <w:rsid w:val="00A22FD9"/>
    <w:rsid w:val="00A234F8"/>
    <w:rsid w:val="00A247A9"/>
    <w:rsid w:val="00A25468"/>
    <w:rsid w:val="00A2564F"/>
    <w:rsid w:val="00A256A1"/>
    <w:rsid w:val="00A264EF"/>
    <w:rsid w:val="00A265E6"/>
    <w:rsid w:val="00A26A88"/>
    <w:rsid w:val="00A26B73"/>
    <w:rsid w:val="00A26DAA"/>
    <w:rsid w:val="00A2717F"/>
    <w:rsid w:val="00A27325"/>
    <w:rsid w:val="00A27501"/>
    <w:rsid w:val="00A3068D"/>
    <w:rsid w:val="00A310D4"/>
    <w:rsid w:val="00A31135"/>
    <w:rsid w:val="00A312CB"/>
    <w:rsid w:val="00A3136F"/>
    <w:rsid w:val="00A31A9C"/>
    <w:rsid w:val="00A31CEE"/>
    <w:rsid w:val="00A32789"/>
    <w:rsid w:val="00A32D94"/>
    <w:rsid w:val="00A33237"/>
    <w:rsid w:val="00A332FB"/>
    <w:rsid w:val="00A33795"/>
    <w:rsid w:val="00A33CF1"/>
    <w:rsid w:val="00A349D1"/>
    <w:rsid w:val="00A35099"/>
    <w:rsid w:val="00A3585A"/>
    <w:rsid w:val="00A36460"/>
    <w:rsid w:val="00A36B9D"/>
    <w:rsid w:val="00A36FC7"/>
    <w:rsid w:val="00A37657"/>
    <w:rsid w:val="00A377AF"/>
    <w:rsid w:val="00A379A8"/>
    <w:rsid w:val="00A40062"/>
    <w:rsid w:val="00A402C4"/>
    <w:rsid w:val="00A4039D"/>
    <w:rsid w:val="00A40B52"/>
    <w:rsid w:val="00A40E3D"/>
    <w:rsid w:val="00A40F97"/>
    <w:rsid w:val="00A415D0"/>
    <w:rsid w:val="00A41D4D"/>
    <w:rsid w:val="00A422F2"/>
    <w:rsid w:val="00A422F7"/>
    <w:rsid w:val="00A42483"/>
    <w:rsid w:val="00A42A0E"/>
    <w:rsid w:val="00A44608"/>
    <w:rsid w:val="00A44981"/>
    <w:rsid w:val="00A449A6"/>
    <w:rsid w:val="00A449D2"/>
    <w:rsid w:val="00A44B64"/>
    <w:rsid w:val="00A4542A"/>
    <w:rsid w:val="00A45D90"/>
    <w:rsid w:val="00A46F34"/>
    <w:rsid w:val="00A46FED"/>
    <w:rsid w:val="00A47417"/>
    <w:rsid w:val="00A478F0"/>
    <w:rsid w:val="00A50D0A"/>
    <w:rsid w:val="00A50D82"/>
    <w:rsid w:val="00A51C4C"/>
    <w:rsid w:val="00A523D6"/>
    <w:rsid w:val="00A5257F"/>
    <w:rsid w:val="00A526B2"/>
    <w:rsid w:val="00A5285A"/>
    <w:rsid w:val="00A52BA5"/>
    <w:rsid w:val="00A53B2B"/>
    <w:rsid w:val="00A54487"/>
    <w:rsid w:val="00A54570"/>
    <w:rsid w:val="00A54700"/>
    <w:rsid w:val="00A54DFE"/>
    <w:rsid w:val="00A54E01"/>
    <w:rsid w:val="00A54FBD"/>
    <w:rsid w:val="00A55981"/>
    <w:rsid w:val="00A55B74"/>
    <w:rsid w:val="00A55EEE"/>
    <w:rsid w:val="00A56612"/>
    <w:rsid w:val="00A56DA9"/>
    <w:rsid w:val="00A56EEC"/>
    <w:rsid w:val="00A576DC"/>
    <w:rsid w:val="00A6074B"/>
    <w:rsid w:val="00A60F42"/>
    <w:rsid w:val="00A61D9B"/>
    <w:rsid w:val="00A62DE6"/>
    <w:rsid w:val="00A6319D"/>
    <w:rsid w:val="00A631D2"/>
    <w:rsid w:val="00A63618"/>
    <w:rsid w:val="00A63C8B"/>
    <w:rsid w:val="00A63E45"/>
    <w:rsid w:val="00A64640"/>
    <w:rsid w:val="00A65A76"/>
    <w:rsid w:val="00A65C76"/>
    <w:rsid w:val="00A664F1"/>
    <w:rsid w:val="00A6655B"/>
    <w:rsid w:val="00A6659B"/>
    <w:rsid w:val="00A66A70"/>
    <w:rsid w:val="00A67AF8"/>
    <w:rsid w:val="00A70329"/>
    <w:rsid w:val="00A7042D"/>
    <w:rsid w:val="00A7049F"/>
    <w:rsid w:val="00A705F1"/>
    <w:rsid w:val="00A70E3E"/>
    <w:rsid w:val="00A714C5"/>
    <w:rsid w:val="00A71534"/>
    <w:rsid w:val="00A715D6"/>
    <w:rsid w:val="00A71732"/>
    <w:rsid w:val="00A717F5"/>
    <w:rsid w:val="00A71F4E"/>
    <w:rsid w:val="00A72394"/>
    <w:rsid w:val="00A72780"/>
    <w:rsid w:val="00A72F52"/>
    <w:rsid w:val="00A73708"/>
    <w:rsid w:val="00A73F8A"/>
    <w:rsid w:val="00A73FEC"/>
    <w:rsid w:val="00A74346"/>
    <w:rsid w:val="00A747B1"/>
    <w:rsid w:val="00A74977"/>
    <w:rsid w:val="00A74CA2"/>
    <w:rsid w:val="00A74E5D"/>
    <w:rsid w:val="00A7576A"/>
    <w:rsid w:val="00A7649E"/>
    <w:rsid w:val="00A764BE"/>
    <w:rsid w:val="00A772A4"/>
    <w:rsid w:val="00A77830"/>
    <w:rsid w:val="00A77D66"/>
    <w:rsid w:val="00A808FC"/>
    <w:rsid w:val="00A8098D"/>
    <w:rsid w:val="00A81522"/>
    <w:rsid w:val="00A817EC"/>
    <w:rsid w:val="00A818D0"/>
    <w:rsid w:val="00A82796"/>
    <w:rsid w:val="00A828F5"/>
    <w:rsid w:val="00A832EA"/>
    <w:rsid w:val="00A836F9"/>
    <w:rsid w:val="00A849F6"/>
    <w:rsid w:val="00A85D6F"/>
    <w:rsid w:val="00A85F63"/>
    <w:rsid w:val="00A86345"/>
    <w:rsid w:val="00A86792"/>
    <w:rsid w:val="00A86E57"/>
    <w:rsid w:val="00A87426"/>
    <w:rsid w:val="00A87632"/>
    <w:rsid w:val="00A91B08"/>
    <w:rsid w:val="00A91E88"/>
    <w:rsid w:val="00A91EB3"/>
    <w:rsid w:val="00A9231D"/>
    <w:rsid w:val="00A93544"/>
    <w:rsid w:val="00A9363B"/>
    <w:rsid w:val="00A936B5"/>
    <w:rsid w:val="00A93F22"/>
    <w:rsid w:val="00A94483"/>
    <w:rsid w:val="00A94CF2"/>
    <w:rsid w:val="00A9547E"/>
    <w:rsid w:val="00A95541"/>
    <w:rsid w:val="00A962BB"/>
    <w:rsid w:val="00A9691B"/>
    <w:rsid w:val="00A971AC"/>
    <w:rsid w:val="00A9739C"/>
    <w:rsid w:val="00A97D45"/>
    <w:rsid w:val="00AA0FEE"/>
    <w:rsid w:val="00AA1672"/>
    <w:rsid w:val="00AA260C"/>
    <w:rsid w:val="00AA3037"/>
    <w:rsid w:val="00AA309F"/>
    <w:rsid w:val="00AA3512"/>
    <w:rsid w:val="00AA3EE3"/>
    <w:rsid w:val="00AA4704"/>
    <w:rsid w:val="00AA4716"/>
    <w:rsid w:val="00AA4757"/>
    <w:rsid w:val="00AA493A"/>
    <w:rsid w:val="00AA4ADD"/>
    <w:rsid w:val="00AA4FF5"/>
    <w:rsid w:val="00AA5685"/>
    <w:rsid w:val="00AA5C8E"/>
    <w:rsid w:val="00AA5F2E"/>
    <w:rsid w:val="00AA60D0"/>
    <w:rsid w:val="00AA6C0C"/>
    <w:rsid w:val="00AA6D25"/>
    <w:rsid w:val="00AA6D8C"/>
    <w:rsid w:val="00AA6DA0"/>
    <w:rsid w:val="00AA6DAA"/>
    <w:rsid w:val="00AA6EB7"/>
    <w:rsid w:val="00AA75B8"/>
    <w:rsid w:val="00AA76D7"/>
    <w:rsid w:val="00AA76FE"/>
    <w:rsid w:val="00AA7C4B"/>
    <w:rsid w:val="00AA7E58"/>
    <w:rsid w:val="00AB0650"/>
    <w:rsid w:val="00AB0807"/>
    <w:rsid w:val="00AB0BA5"/>
    <w:rsid w:val="00AB0BE7"/>
    <w:rsid w:val="00AB0FDB"/>
    <w:rsid w:val="00AB1594"/>
    <w:rsid w:val="00AB1E3E"/>
    <w:rsid w:val="00AB1FBB"/>
    <w:rsid w:val="00AB2976"/>
    <w:rsid w:val="00AB2DF2"/>
    <w:rsid w:val="00AB33C9"/>
    <w:rsid w:val="00AB349A"/>
    <w:rsid w:val="00AB383A"/>
    <w:rsid w:val="00AB3F61"/>
    <w:rsid w:val="00AB3F63"/>
    <w:rsid w:val="00AB3F9D"/>
    <w:rsid w:val="00AB4500"/>
    <w:rsid w:val="00AB5C63"/>
    <w:rsid w:val="00AB7143"/>
    <w:rsid w:val="00AB7B5E"/>
    <w:rsid w:val="00AB7B86"/>
    <w:rsid w:val="00AB7BF7"/>
    <w:rsid w:val="00AB7CFD"/>
    <w:rsid w:val="00AC03C1"/>
    <w:rsid w:val="00AC0412"/>
    <w:rsid w:val="00AC050A"/>
    <w:rsid w:val="00AC068A"/>
    <w:rsid w:val="00AC0B01"/>
    <w:rsid w:val="00AC17E1"/>
    <w:rsid w:val="00AC1C7C"/>
    <w:rsid w:val="00AC1F8A"/>
    <w:rsid w:val="00AC28A9"/>
    <w:rsid w:val="00AC28B1"/>
    <w:rsid w:val="00AC446E"/>
    <w:rsid w:val="00AC4E0F"/>
    <w:rsid w:val="00AC6922"/>
    <w:rsid w:val="00AC6B92"/>
    <w:rsid w:val="00AC6C91"/>
    <w:rsid w:val="00AC6D63"/>
    <w:rsid w:val="00AC7246"/>
    <w:rsid w:val="00AC7644"/>
    <w:rsid w:val="00AC779A"/>
    <w:rsid w:val="00AC77C8"/>
    <w:rsid w:val="00AC77D7"/>
    <w:rsid w:val="00AC7B7E"/>
    <w:rsid w:val="00AD0825"/>
    <w:rsid w:val="00AD0E8D"/>
    <w:rsid w:val="00AD17FC"/>
    <w:rsid w:val="00AD1C1B"/>
    <w:rsid w:val="00AD2063"/>
    <w:rsid w:val="00AD20CD"/>
    <w:rsid w:val="00AD2865"/>
    <w:rsid w:val="00AD2CA0"/>
    <w:rsid w:val="00AD3B88"/>
    <w:rsid w:val="00AD3C24"/>
    <w:rsid w:val="00AD4B28"/>
    <w:rsid w:val="00AD5061"/>
    <w:rsid w:val="00AD5332"/>
    <w:rsid w:val="00AD587E"/>
    <w:rsid w:val="00AD594E"/>
    <w:rsid w:val="00AD6054"/>
    <w:rsid w:val="00AD6067"/>
    <w:rsid w:val="00AD70DF"/>
    <w:rsid w:val="00AD7327"/>
    <w:rsid w:val="00AD7482"/>
    <w:rsid w:val="00AD7C3D"/>
    <w:rsid w:val="00AE0089"/>
    <w:rsid w:val="00AE08D7"/>
    <w:rsid w:val="00AE0CC1"/>
    <w:rsid w:val="00AE0CED"/>
    <w:rsid w:val="00AE199E"/>
    <w:rsid w:val="00AE1A6F"/>
    <w:rsid w:val="00AE1B2E"/>
    <w:rsid w:val="00AE1F84"/>
    <w:rsid w:val="00AE2E78"/>
    <w:rsid w:val="00AE3148"/>
    <w:rsid w:val="00AE4004"/>
    <w:rsid w:val="00AE56C1"/>
    <w:rsid w:val="00AE5882"/>
    <w:rsid w:val="00AE592E"/>
    <w:rsid w:val="00AE5A2B"/>
    <w:rsid w:val="00AE5AE5"/>
    <w:rsid w:val="00AE5C5A"/>
    <w:rsid w:val="00AE5F54"/>
    <w:rsid w:val="00AE636E"/>
    <w:rsid w:val="00AE66BF"/>
    <w:rsid w:val="00AE6CEC"/>
    <w:rsid w:val="00AE7298"/>
    <w:rsid w:val="00AE72CB"/>
    <w:rsid w:val="00AE74FD"/>
    <w:rsid w:val="00AE7601"/>
    <w:rsid w:val="00AE7BD1"/>
    <w:rsid w:val="00AF148C"/>
    <w:rsid w:val="00AF1615"/>
    <w:rsid w:val="00AF1838"/>
    <w:rsid w:val="00AF232E"/>
    <w:rsid w:val="00AF27F2"/>
    <w:rsid w:val="00AF30B5"/>
    <w:rsid w:val="00AF373A"/>
    <w:rsid w:val="00AF38A1"/>
    <w:rsid w:val="00AF5082"/>
    <w:rsid w:val="00AF5106"/>
    <w:rsid w:val="00AF5E52"/>
    <w:rsid w:val="00AF5F05"/>
    <w:rsid w:val="00AF6A09"/>
    <w:rsid w:val="00AF6C40"/>
    <w:rsid w:val="00AF6CD3"/>
    <w:rsid w:val="00AF6DBB"/>
    <w:rsid w:val="00AF7EE9"/>
    <w:rsid w:val="00AF7F4F"/>
    <w:rsid w:val="00B00129"/>
    <w:rsid w:val="00B0062D"/>
    <w:rsid w:val="00B00AC9"/>
    <w:rsid w:val="00B00FC0"/>
    <w:rsid w:val="00B00FFB"/>
    <w:rsid w:val="00B01037"/>
    <w:rsid w:val="00B0131D"/>
    <w:rsid w:val="00B0135C"/>
    <w:rsid w:val="00B0162C"/>
    <w:rsid w:val="00B016B0"/>
    <w:rsid w:val="00B01A34"/>
    <w:rsid w:val="00B01E4C"/>
    <w:rsid w:val="00B02107"/>
    <w:rsid w:val="00B02993"/>
    <w:rsid w:val="00B036B7"/>
    <w:rsid w:val="00B04467"/>
    <w:rsid w:val="00B0453F"/>
    <w:rsid w:val="00B0484D"/>
    <w:rsid w:val="00B04D84"/>
    <w:rsid w:val="00B04FB3"/>
    <w:rsid w:val="00B05385"/>
    <w:rsid w:val="00B05550"/>
    <w:rsid w:val="00B05CDC"/>
    <w:rsid w:val="00B05EA9"/>
    <w:rsid w:val="00B06443"/>
    <w:rsid w:val="00B067A2"/>
    <w:rsid w:val="00B067F7"/>
    <w:rsid w:val="00B06EFD"/>
    <w:rsid w:val="00B10B47"/>
    <w:rsid w:val="00B11553"/>
    <w:rsid w:val="00B1161F"/>
    <w:rsid w:val="00B1242B"/>
    <w:rsid w:val="00B12FD5"/>
    <w:rsid w:val="00B130E3"/>
    <w:rsid w:val="00B13947"/>
    <w:rsid w:val="00B1400C"/>
    <w:rsid w:val="00B14292"/>
    <w:rsid w:val="00B1444C"/>
    <w:rsid w:val="00B1471B"/>
    <w:rsid w:val="00B15149"/>
    <w:rsid w:val="00B154E7"/>
    <w:rsid w:val="00B15ECD"/>
    <w:rsid w:val="00B15F78"/>
    <w:rsid w:val="00B16206"/>
    <w:rsid w:val="00B16E51"/>
    <w:rsid w:val="00B16FD9"/>
    <w:rsid w:val="00B172F9"/>
    <w:rsid w:val="00B206DC"/>
    <w:rsid w:val="00B20EB4"/>
    <w:rsid w:val="00B21777"/>
    <w:rsid w:val="00B21855"/>
    <w:rsid w:val="00B223D6"/>
    <w:rsid w:val="00B22439"/>
    <w:rsid w:val="00B23B05"/>
    <w:rsid w:val="00B23E0D"/>
    <w:rsid w:val="00B24095"/>
    <w:rsid w:val="00B24249"/>
    <w:rsid w:val="00B24373"/>
    <w:rsid w:val="00B25CC5"/>
    <w:rsid w:val="00B25E08"/>
    <w:rsid w:val="00B26B8E"/>
    <w:rsid w:val="00B26FC2"/>
    <w:rsid w:val="00B26FE2"/>
    <w:rsid w:val="00B2717C"/>
    <w:rsid w:val="00B27981"/>
    <w:rsid w:val="00B3004B"/>
    <w:rsid w:val="00B30814"/>
    <w:rsid w:val="00B30996"/>
    <w:rsid w:val="00B309D5"/>
    <w:rsid w:val="00B31D12"/>
    <w:rsid w:val="00B3306F"/>
    <w:rsid w:val="00B33943"/>
    <w:rsid w:val="00B33AF7"/>
    <w:rsid w:val="00B33B02"/>
    <w:rsid w:val="00B33E29"/>
    <w:rsid w:val="00B33E79"/>
    <w:rsid w:val="00B33ED0"/>
    <w:rsid w:val="00B342B8"/>
    <w:rsid w:val="00B34BD5"/>
    <w:rsid w:val="00B356DF"/>
    <w:rsid w:val="00B35C25"/>
    <w:rsid w:val="00B35E04"/>
    <w:rsid w:val="00B35F87"/>
    <w:rsid w:val="00B363B9"/>
    <w:rsid w:val="00B3729A"/>
    <w:rsid w:val="00B4012B"/>
    <w:rsid w:val="00B40988"/>
    <w:rsid w:val="00B40BFF"/>
    <w:rsid w:val="00B40DFB"/>
    <w:rsid w:val="00B411A5"/>
    <w:rsid w:val="00B41A99"/>
    <w:rsid w:val="00B41CBF"/>
    <w:rsid w:val="00B42276"/>
    <w:rsid w:val="00B42639"/>
    <w:rsid w:val="00B42691"/>
    <w:rsid w:val="00B429B6"/>
    <w:rsid w:val="00B42F8B"/>
    <w:rsid w:val="00B431C4"/>
    <w:rsid w:val="00B43250"/>
    <w:rsid w:val="00B43523"/>
    <w:rsid w:val="00B4369D"/>
    <w:rsid w:val="00B43758"/>
    <w:rsid w:val="00B43C53"/>
    <w:rsid w:val="00B441F6"/>
    <w:rsid w:val="00B44607"/>
    <w:rsid w:val="00B44634"/>
    <w:rsid w:val="00B44675"/>
    <w:rsid w:val="00B44B14"/>
    <w:rsid w:val="00B45B73"/>
    <w:rsid w:val="00B45DFA"/>
    <w:rsid w:val="00B45E67"/>
    <w:rsid w:val="00B4641A"/>
    <w:rsid w:val="00B46500"/>
    <w:rsid w:val="00B466DA"/>
    <w:rsid w:val="00B46B1A"/>
    <w:rsid w:val="00B46E87"/>
    <w:rsid w:val="00B4728B"/>
    <w:rsid w:val="00B475DE"/>
    <w:rsid w:val="00B476C0"/>
    <w:rsid w:val="00B47903"/>
    <w:rsid w:val="00B501E4"/>
    <w:rsid w:val="00B50BCD"/>
    <w:rsid w:val="00B50DE3"/>
    <w:rsid w:val="00B5102E"/>
    <w:rsid w:val="00B510F5"/>
    <w:rsid w:val="00B51362"/>
    <w:rsid w:val="00B513FD"/>
    <w:rsid w:val="00B51667"/>
    <w:rsid w:val="00B51876"/>
    <w:rsid w:val="00B51DFA"/>
    <w:rsid w:val="00B51F9B"/>
    <w:rsid w:val="00B52180"/>
    <w:rsid w:val="00B52A88"/>
    <w:rsid w:val="00B5338F"/>
    <w:rsid w:val="00B552E4"/>
    <w:rsid w:val="00B563F7"/>
    <w:rsid w:val="00B56A4F"/>
    <w:rsid w:val="00B56AC4"/>
    <w:rsid w:val="00B56CFB"/>
    <w:rsid w:val="00B57EE6"/>
    <w:rsid w:val="00B601C2"/>
    <w:rsid w:val="00B60280"/>
    <w:rsid w:val="00B60FD1"/>
    <w:rsid w:val="00B617D3"/>
    <w:rsid w:val="00B61ADC"/>
    <w:rsid w:val="00B61B4B"/>
    <w:rsid w:val="00B62067"/>
    <w:rsid w:val="00B62262"/>
    <w:rsid w:val="00B62438"/>
    <w:rsid w:val="00B62F56"/>
    <w:rsid w:val="00B634E1"/>
    <w:rsid w:val="00B6351C"/>
    <w:rsid w:val="00B6530E"/>
    <w:rsid w:val="00B656BC"/>
    <w:rsid w:val="00B65A7A"/>
    <w:rsid w:val="00B65EC1"/>
    <w:rsid w:val="00B66046"/>
    <w:rsid w:val="00B66555"/>
    <w:rsid w:val="00B6673F"/>
    <w:rsid w:val="00B66C7A"/>
    <w:rsid w:val="00B66F06"/>
    <w:rsid w:val="00B66F8B"/>
    <w:rsid w:val="00B67044"/>
    <w:rsid w:val="00B6743A"/>
    <w:rsid w:val="00B67815"/>
    <w:rsid w:val="00B67AF3"/>
    <w:rsid w:val="00B70535"/>
    <w:rsid w:val="00B7062A"/>
    <w:rsid w:val="00B707E4"/>
    <w:rsid w:val="00B70CC7"/>
    <w:rsid w:val="00B70F07"/>
    <w:rsid w:val="00B70FB4"/>
    <w:rsid w:val="00B710F3"/>
    <w:rsid w:val="00B715A9"/>
    <w:rsid w:val="00B715E4"/>
    <w:rsid w:val="00B71F14"/>
    <w:rsid w:val="00B71F72"/>
    <w:rsid w:val="00B72016"/>
    <w:rsid w:val="00B72260"/>
    <w:rsid w:val="00B72753"/>
    <w:rsid w:val="00B72CB8"/>
    <w:rsid w:val="00B73BC4"/>
    <w:rsid w:val="00B73F61"/>
    <w:rsid w:val="00B742CE"/>
    <w:rsid w:val="00B745B7"/>
    <w:rsid w:val="00B76181"/>
    <w:rsid w:val="00B764D0"/>
    <w:rsid w:val="00B76AB7"/>
    <w:rsid w:val="00B77712"/>
    <w:rsid w:val="00B7790A"/>
    <w:rsid w:val="00B77E74"/>
    <w:rsid w:val="00B8051D"/>
    <w:rsid w:val="00B825FB"/>
    <w:rsid w:val="00B82AEA"/>
    <w:rsid w:val="00B83C28"/>
    <w:rsid w:val="00B83E95"/>
    <w:rsid w:val="00B84032"/>
    <w:rsid w:val="00B840CC"/>
    <w:rsid w:val="00B84891"/>
    <w:rsid w:val="00B85116"/>
    <w:rsid w:val="00B85F33"/>
    <w:rsid w:val="00B86004"/>
    <w:rsid w:val="00B86132"/>
    <w:rsid w:val="00B862C2"/>
    <w:rsid w:val="00B87DEF"/>
    <w:rsid w:val="00B902F2"/>
    <w:rsid w:val="00B906FE"/>
    <w:rsid w:val="00B9109C"/>
    <w:rsid w:val="00B91245"/>
    <w:rsid w:val="00B91452"/>
    <w:rsid w:val="00B9162A"/>
    <w:rsid w:val="00B91873"/>
    <w:rsid w:val="00B91E72"/>
    <w:rsid w:val="00B92807"/>
    <w:rsid w:val="00B92B3C"/>
    <w:rsid w:val="00B92DF5"/>
    <w:rsid w:val="00B93B4B"/>
    <w:rsid w:val="00B9469D"/>
    <w:rsid w:val="00B94738"/>
    <w:rsid w:val="00B94798"/>
    <w:rsid w:val="00B948FF"/>
    <w:rsid w:val="00B9506A"/>
    <w:rsid w:val="00B950F6"/>
    <w:rsid w:val="00B95C2C"/>
    <w:rsid w:val="00B95E4E"/>
    <w:rsid w:val="00B9640E"/>
    <w:rsid w:val="00B9693A"/>
    <w:rsid w:val="00B969D3"/>
    <w:rsid w:val="00B96A9F"/>
    <w:rsid w:val="00B9730D"/>
    <w:rsid w:val="00B975BF"/>
    <w:rsid w:val="00B975C1"/>
    <w:rsid w:val="00B97641"/>
    <w:rsid w:val="00BA03B4"/>
    <w:rsid w:val="00BA04F9"/>
    <w:rsid w:val="00BA0A61"/>
    <w:rsid w:val="00BA1137"/>
    <w:rsid w:val="00BA1AEA"/>
    <w:rsid w:val="00BA1B12"/>
    <w:rsid w:val="00BA1BFA"/>
    <w:rsid w:val="00BA24E9"/>
    <w:rsid w:val="00BA2731"/>
    <w:rsid w:val="00BA2871"/>
    <w:rsid w:val="00BA2B5D"/>
    <w:rsid w:val="00BA3769"/>
    <w:rsid w:val="00BA390D"/>
    <w:rsid w:val="00BA394F"/>
    <w:rsid w:val="00BA3C44"/>
    <w:rsid w:val="00BA4289"/>
    <w:rsid w:val="00BA46F9"/>
    <w:rsid w:val="00BA4EB5"/>
    <w:rsid w:val="00BA4F8D"/>
    <w:rsid w:val="00BA5191"/>
    <w:rsid w:val="00BA6636"/>
    <w:rsid w:val="00BA6C04"/>
    <w:rsid w:val="00BB030B"/>
    <w:rsid w:val="00BB0476"/>
    <w:rsid w:val="00BB0A59"/>
    <w:rsid w:val="00BB0B97"/>
    <w:rsid w:val="00BB0E0D"/>
    <w:rsid w:val="00BB17A6"/>
    <w:rsid w:val="00BB17FC"/>
    <w:rsid w:val="00BB1A85"/>
    <w:rsid w:val="00BB1AFE"/>
    <w:rsid w:val="00BB1CF7"/>
    <w:rsid w:val="00BB24F9"/>
    <w:rsid w:val="00BB2669"/>
    <w:rsid w:val="00BB2ACE"/>
    <w:rsid w:val="00BB2BF6"/>
    <w:rsid w:val="00BB304B"/>
    <w:rsid w:val="00BB350F"/>
    <w:rsid w:val="00BB371E"/>
    <w:rsid w:val="00BB3CA9"/>
    <w:rsid w:val="00BB3D0F"/>
    <w:rsid w:val="00BB4121"/>
    <w:rsid w:val="00BB4CCE"/>
    <w:rsid w:val="00BB4EF3"/>
    <w:rsid w:val="00BB56BB"/>
    <w:rsid w:val="00BB583F"/>
    <w:rsid w:val="00BB5BC5"/>
    <w:rsid w:val="00BB5F3D"/>
    <w:rsid w:val="00BB60CE"/>
    <w:rsid w:val="00BB64DE"/>
    <w:rsid w:val="00BB6831"/>
    <w:rsid w:val="00BB68CF"/>
    <w:rsid w:val="00BB6A53"/>
    <w:rsid w:val="00BB6BB1"/>
    <w:rsid w:val="00BB6F33"/>
    <w:rsid w:val="00BB71ED"/>
    <w:rsid w:val="00BB79A2"/>
    <w:rsid w:val="00BB7B88"/>
    <w:rsid w:val="00BB7F8B"/>
    <w:rsid w:val="00BC05FC"/>
    <w:rsid w:val="00BC0DCC"/>
    <w:rsid w:val="00BC0EDF"/>
    <w:rsid w:val="00BC11B3"/>
    <w:rsid w:val="00BC123B"/>
    <w:rsid w:val="00BC1887"/>
    <w:rsid w:val="00BC199B"/>
    <w:rsid w:val="00BC2246"/>
    <w:rsid w:val="00BC230C"/>
    <w:rsid w:val="00BC2F57"/>
    <w:rsid w:val="00BC30BB"/>
    <w:rsid w:val="00BC332B"/>
    <w:rsid w:val="00BC37C7"/>
    <w:rsid w:val="00BC4502"/>
    <w:rsid w:val="00BC4C91"/>
    <w:rsid w:val="00BC4CAB"/>
    <w:rsid w:val="00BC4D68"/>
    <w:rsid w:val="00BC4E47"/>
    <w:rsid w:val="00BC4F1E"/>
    <w:rsid w:val="00BC5B96"/>
    <w:rsid w:val="00BC5C75"/>
    <w:rsid w:val="00BC5EEF"/>
    <w:rsid w:val="00BC6768"/>
    <w:rsid w:val="00BC6968"/>
    <w:rsid w:val="00BC6E98"/>
    <w:rsid w:val="00BC760E"/>
    <w:rsid w:val="00BC7B2A"/>
    <w:rsid w:val="00BC7B43"/>
    <w:rsid w:val="00BC7C0C"/>
    <w:rsid w:val="00BC7E53"/>
    <w:rsid w:val="00BD0FE7"/>
    <w:rsid w:val="00BD1C1F"/>
    <w:rsid w:val="00BD272B"/>
    <w:rsid w:val="00BD276F"/>
    <w:rsid w:val="00BD2D56"/>
    <w:rsid w:val="00BD4282"/>
    <w:rsid w:val="00BD47E7"/>
    <w:rsid w:val="00BD4E23"/>
    <w:rsid w:val="00BD4E42"/>
    <w:rsid w:val="00BD512E"/>
    <w:rsid w:val="00BD5528"/>
    <w:rsid w:val="00BD5563"/>
    <w:rsid w:val="00BD55BA"/>
    <w:rsid w:val="00BD5782"/>
    <w:rsid w:val="00BD5E42"/>
    <w:rsid w:val="00BD6A12"/>
    <w:rsid w:val="00BD779F"/>
    <w:rsid w:val="00BD7ADA"/>
    <w:rsid w:val="00BE0403"/>
    <w:rsid w:val="00BE0C1B"/>
    <w:rsid w:val="00BE1636"/>
    <w:rsid w:val="00BE197F"/>
    <w:rsid w:val="00BE1AC0"/>
    <w:rsid w:val="00BE1D3C"/>
    <w:rsid w:val="00BE1D41"/>
    <w:rsid w:val="00BE20BE"/>
    <w:rsid w:val="00BE20C9"/>
    <w:rsid w:val="00BE2238"/>
    <w:rsid w:val="00BE26A6"/>
    <w:rsid w:val="00BE305D"/>
    <w:rsid w:val="00BE30BC"/>
    <w:rsid w:val="00BE3870"/>
    <w:rsid w:val="00BE3935"/>
    <w:rsid w:val="00BE4017"/>
    <w:rsid w:val="00BE405E"/>
    <w:rsid w:val="00BE4265"/>
    <w:rsid w:val="00BE49E3"/>
    <w:rsid w:val="00BE4A26"/>
    <w:rsid w:val="00BE5B1C"/>
    <w:rsid w:val="00BE5B76"/>
    <w:rsid w:val="00BE611E"/>
    <w:rsid w:val="00BE6151"/>
    <w:rsid w:val="00BE6B06"/>
    <w:rsid w:val="00BE6D61"/>
    <w:rsid w:val="00BE71E7"/>
    <w:rsid w:val="00BF0231"/>
    <w:rsid w:val="00BF04D9"/>
    <w:rsid w:val="00BF08FB"/>
    <w:rsid w:val="00BF13ED"/>
    <w:rsid w:val="00BF2130"/>
    <w:rsid w:val="00BF21C8"/>
    <w:rsid w:val="00BF22AB"/>
    <w:rsid w:val="00BF23F1"/>
    <w:rsid w:val="00BF2A5B"/>
    <w:rsid w:val="00BF3672"/>
    <w:rsid w:val="00BF3AF0"/>
    <w:rsid w:val="00BF3EC3"/>
    <w:rsid w:val="00BF4370"/>
    <w:rsid w:val="00BF496B"/>
    <w:rsid w:val="00BF4FD8"/>
    <w:rsid w:val="00BF5233"/>
    <w:rsid w:val="00BF553E"/>
    <w:rsid w:val="00BF57F6"/>
    <w:rsid w:val="00BF5AF8"/>
    <w:rsid w:val="00BF62EF"/>
    <w:rsid w:val="00BF6D84"/>
    <w:rsid w:val="00BF7211"/>
    <w:rsid w:val="00C00942"/>
    <w:rsid w:val="00C00CF4"/>
    <w:rsid w:val="00C011A6"/>
    <w:rsid w:val="00C01461"/>
    <w:rsid w:val="00C0217E"/>
    <w:rsid w:val="00C02436"/>
    <w:rsid w:val="00C026AD"/>
    <w:rsid w:val="00C0286F"/>
    <w:rsid w:val="00C0299C"/>
    <w:rsid w:val="00C03963"/>
    <w:rsid w:val="00C03AD1"/>
    <w:rsid w:val="00C03B09"/>
    <w:rsid w:val="00C03FE3"/>
    <w:rsid w:val="00C04342"/>
    <w:rsid w:val="00C054B9"/>
    <w:rsid w:val="00C05F04"/>
    <w:rsid w:val="00C06231"/>
    <w:rsid w:val="00C06265"/>
    <w:rsid w:val="00C06511"/>
    <w:rsid w:val="00C0655F"/>
    <w:rsid w:val="00C07492"/>
    <w:rsid w:val="00C07709"/>
    <w:rsid w:val="00C07B5C"/>
    <w:rsid w:val="00C07B70"/>
    <w:rsid w:val="00C07B9B"/>
    <w:rsid w:val="00C07CAF"/>
    <w:rsid w:val="00C07CB7"/>
    <w:rsid w:val="00C07F33"/>
    <w:rsid w:val="00C101D7"/>
    <w:rsid w:val="00C10285"/>
    <w:rsid w:val="00C1123C"/>
    <w:rsid w:val="00C11466"/>
    <w:rsid w:val="00C12250"/>
    <w:rsid w:val="00C12351"/>
    <w:rsid w:val="00C12634"/>
    <w:rsid w:val="00C12A29"/>
    <w:rsid w:val="00C12C4B"/>
    <w:rsid w:val="00C1322F"/>
    <w:rsid w:val="00C1323C"/>
    <w:rsid w:val="00C13435"/>
    <w:rsid w:val="00C13B70"/>
    <w:rsid w:val="00C13DA6"/>
    <w:rsid w:val="00C13DE3"/>
    <w:rsid w:val="00C14250"/>
    <w:rsid w:val="00C142B3"/>
    <w:rsid w:val="00C14324"/>
    <w:rsid w:val="00C14802"/>
    <w:rsid w:val="00C14C56"/>
    <w:rsid w:val="00C1523A"/>
    <w:rsid w:val="00C1570E"/>
    <w:rsid w:val="00C15AF5"/>
    <w:rsid w:val="00C162AF"/>
    <w:rsid w:val="00C170B7"/>
    <w:rsid w:val="00C17475"/>
    <w:rsid w:val="00C179FE"/>
    <w:rsid w:val="00C17B1D"/>
    <w:rsid w:val="00C20C7A"/>
    <w:rsid w:val="00C20E0D"/>
    <w:rsid w:val="00C212B1"/>
    <w:rsid w:val="00C219EA"/>
    <w:rsid w:val="00C21A68"/>
    <w:rsid w:val="00C21A90"/>
    <w:rsid w:val="00C220C1"/>
    <w:rsid w:val="00C23208"/>
    <w:rsid w:val="00C2335C"/>
    <w:rsid w:val="00C235CF"/>
    <w:rsid w:val="00C2372E"/>
    <w:rsid w:val="00C2398D"/>
    <w:rsid w:val="00C23E33"/>
    <w:rsid w:val="00C23E69"/>
    <w:rsid w:val="00C23FAB"/>
    <w:rsid w:val="00C241D6"/>
    <w:rsid w:val="00C24EBF"/>
    <w:rsid w:val="00C2562E"/>
    <w:rsid w:val="00C25B06"/>
    <w:rsid w:val="00C25CBC"/>
    <w:rsid w:val="00C25E35"/>
    <w:rsid w:val="00C25EE9"/>
    <w:rsid w:val="00C25F45"/>
    <w:rsid w:val="00C26039"/>
    <w:rsid w:val="00C26129"/>
    <w:rsid w:val="00C26EC4"/>
    <w:rsid w:val="00C2726E"/>
    <w:rsid w:val="00C272A6"/>
    <w:rsid w:val="00C2733B"/>
    <w:rsid w:val="00C27959"/>
    <w:rsid w:val="00C305E7"/>
    <w:rsid w:val="00C30E66"/>
    <w:rsid w:val="00C31DC1"/>
    <w:rsid w:val="00C321E2"/>
    <w:rsid w:val="00C33024"/>
    <w:rsid w:val="00C33037"/>
    <w:rsid w:val="00C33233"/>
    <w:rsid w:val="00C33BA7"/>
    <w:rsid w:val="00C33CEC"/>
    <w:rsid w:val="00C33EE9"/>
    <w:rsid w:val="00C343E1"/>
    <w:rsid w:val="00C346C8"/>
    <w:rsid w:val="00C34A71"/>
    <w:rsid w:val="00C34A7A"/>
    <w:rsid w:val="00C34B95"/>
    <w:rsid w:val="00C3512E"/>
    <w:rsid w:val="00C353F2"/>
    <w:rsid w:val="00C355BC"/>
    <w:rsid w:val="00C357C4"/>
    <w:rsid w:val="00C35A1F"/>
    <w:rsid w:val="00C365A1"/>
    <w:rsid w:val="00C3677A"/>
    <w:rsid w:val="00C373A3"/>
    <w:rsid w:val="00C37479"/>
    <w:rsid w:val="00C41257"/>
    <w:rsid w:val="00C4126C"/>
    <w:rsid w:val="00C41400"/>
    <w:rsid w:val="00C41551"/>
    <w:rsid w:val="00C416A8"/>
    <w:rsid w:val="00C41D46"/>
    <w:rsid w:val="00C422DA"/>
    <w:rsid w:val="00C43595"/>
    <w:rsid w:val="00C4429F"/>
    <w:rsid w:val="00C442DA"/>
    <w:rsid w:val="00C44711"/>
    <w:rsid w:val="00C44EA7"/>
    <w:rsid w:val="00C45548"/>
    <w:rsid w:val="00C45886"/>
    <w:rsid w:val="00C461A8"/>
    <w:rsid w:val="00C466A8"/>
    <w:rsid w:val="00C467EC"/>
    <w:rsid w:val="00C4698C"/>
    <w:rsid w:val="00C476CC"/>
    <w:rsid w:val="00C51280"/>
    <w:rsid w:val="00C51975"/>
    <w:rsid w:val="00C521B5"/>
    <w:rsid w:val="00C52CBD"/>
    <w:rsid w:val="00C532D6"/>
    <w:rsid w:val="00C53343"/>
    <w:rsid w:val="00C53611"/>
    <w:rsid w:val="00C53841"/>
    <w:rsid w:val="00C549F0"/>
    <w:rsid w:val="00C54D86"/>
    <w:rsid w:val="00C55F6B"/>
    <w:rsid w:val="00C56229"/>
    <w:rsid w:val="00C564E8"/>
    <w:rsid w:val="00C60C8A"/>
    <w:rsid w:val="00C60EFF"/>
    <w:rsid w:val="00C61309"/>
    <w:rsid w:val="00C6156A"/>
    <w:rsid w:val="00C6167B"/>
    <w:rsid w:val="00C6174A"/>
    <w:rsid w:val="00C61DD1"/>
    <w:rsid w:val="00C6233A"/>
    <w:rsid w:val="00C6264C"/>
    <w:rsid w:val="00C62667"/>
    <w:rsid w:val="00C62929"/>
    <w:rsid w:val="00C63A30"/>
    <w:rsid w:val="00C63CC8"/>
    <w:rsid w:val="00C6492A"/>
    <w:rsid w:val="00C64F63"/>
    <w:rsid w:val="00C650AB"/>
    <w:rsid w:val="00C663BC"/>
    <w:rsid w:val="00C66A2C"/>
    <w:rsid w:val="00C66D46"/>
    <w:rsid w:val="00C67290"/>
    <w:rsid w:val="00C70035"/>
    <w:rsid w:val="00C70588"/>
    <w:rsid w:val="00C70721"/>
    <w:rsid w:val="00C70C33"/>
    <w:rsid w:val="00C70CAE"/>
    <w:rsid w:val="00C70F50"/>
    <w:rsid w:val="00C7106F"/>
    <w:rsid w:val="00C71433"/>
    <w:rsid w:val="00C7163A"/>
    <w:rsid w:val="00C71872"/>
    <w:rsid w:val="00C7290C"/>
    <w:rsid w:val="00C72AE8"/>
    <w:rsid w:val="00C72EE6"/>
    <w:rsid w:val="00C73642"/>
    <w:rsid w:val="00C73F76"/>
    <w:rsid w:val="00C748E4"/>
    <w:rsid w:val="00C75523"/>
    <w:rsid w:val="00C7611A"/>
    <w:rsid w:val="00C76420"/>
    <w:rsid w:val="00C7644D"/>
    <w:rsid w:val="00C76548"/>
    <w:rsid w:val="00C76974"/>
    <w:rsid w:val="00C77607"/>
    <w:rsid w:val="00C77E79"/>
    <w:rsid w:val="00C802E3"/>
    <w:rsid w:val="00C80D80"/>
    <w:rsid w:val="00C81212"/>
    <w:rsid w:val="00C815EE"/>
    <w:rsid w:val="00C81603"/>
    <w:rsid w:val="00C81B1A"/>
    <w:rsid w:val="00C82290"/>
    <w:rsid w:val="00C822A0"/>
    <w:rsid w:val="00C828E5"/>
    <w:rsid w:val="00C82F5C"/>
    <w:rsid w:val="00C8363D"/>
    <w:rsid w:val="00C837FB"/>
    <w:rsid w:val="00C8393E"/>
    <w:rsid w:val="00C83D4B"/>
    <w:rsid w:val="00C84324"/>
    <w:rsid w:val="00C84455"/>
    <w:rsid w:val="00C84799"/>
    <w:rsid w:val="00C84C17"/>
    <w:rsid w:val="00C85191"/>
    <w:rsid w:val="00C85ADD"/>
    <w:rsid w:val="00C85B8B"/>
    <w:rsid w:val="00C85E9D"/>
    <w:rsid w:val="00C861DC"/>
    <w:rsid w:val="00C868F4"/>
    <w:rsid w:val="00C8694A"/>
    <w:rsid w:val="00C872DD"/>
    <w:rsid w:val="00C87929"/>
    <w:rsid w:val="00C91419"/>
    <w:rsid w:val="00C91958"/>
    <w:rsid w:val="00C9228C"/>
    <w:rsid w:val="00C92996"/>
    <w:rsid w:val="00C92CF6"/>
    <w:rsid w:val="00C92E7B"/>
    <w:rsid w:val="00C93014"/>
    <w:rsid w:val="00C93F6A"/>
    <w:rsid w:val="00C9408A"/>
    <w:rsid w:val="00C94147"/>
    <w:rsid w:val="00C943E4"/>
    <w:rsid w:val="00C94FA8"/>
    <w:rsid w:val="00C95F63"/>
    <w:rsid w:val="00C9615D"/>
    <w:rsid w:val="00C96239"/>
    <w:rsid w:val="00C964C7"/>
    <w:rsid w:val="00C966D1"/>
    <w:rsid w:val="00C96989"/>
    <w:rsid w:val="00C97146"/>
    <w:rsid w:val="00C97402"/>
    <w:rsid w:val="00C97970"/>
    <w:rsid w:val="00C97D35"/>
    <w:rsid w:val="00CA0690"/>
    <w:rsid w:val="00CA079C"/>
    <w:rsid w:val="00CA119F"/>
    <w:rsid w:val="00CA1813"/>
    <w:rsid w:val="00CA29F9"/>
    <w:rsid w:val="00CA38B4"/>
    <w:rsid w:val="00CA38D3"/>
    <w:rsid w:val="00CA3A52"/>
    <w:rsid w:val="00CA3E1D"/>
    <w:rsid w:val="00CA3E3A"/>
    <w:rsid w:val="00CA41D2"/>
    <w:rsid w:val="00CA5311"/>
    <w:rsid w:val="00CA551F"/>
    <w:rsid w:val="00CA5E5C"/>
    <w:rsid w:val="00CA63CA"/>
    <w:rsid w:val="00CA6EFE"/>
    <w:rsid w:val="00CA7092"/>
    <w:rsid w:val="00CA7812"/>
    <w:rsid w:val="00CA788C"/>
    <w:rsid w:val="00CB02B2"/>
    <w:rsid w:val="00CB038B"/>
    <w:rsid w:val="00CB0D17"/>
    <w:rsid w:val="00CB1020"/>
    <w:rsid w:val="00CB185A"/>
    <w:rsid w:val="00CB2231"/>
    <w:rsid w:val="00CB2F39"/>
    <w:rsid w:val="00CB380A"/>
    <w:rsid w:val="00CB3A39"/>
    <w:rsid w:val="00CB3BA2"/>
    <w:rsid w:val="00CB3E61"/>
    <w:rsid w:val="00CB4274"/>
    <w:rsid w:val="00CB48F4"/>
    <w:rsid w:val="00CB4B09"/>
    <w:rsid w:val="00CB5315"/>
    <w:rsid w:val="00CB539F"/>
    <w:rsid w:val="00CB593F"/>
    <w:rsid w:val="00CB5981"/>
    <w:rsid w:val="00CB600D"/>
    <w:rsid w:val="00CB66F9"/>
    <w:rsid w:val="00CB69FC"/>
    <w:rsid w:val="00CB7301"/>
    <w:rsid w:val="00CB73CD"/>
    <w:rsid w:val="00CB777D"/>
    <w:rsid w:val="00CC02FD"/>
    <w:rsid w:val="00CC044D"/>
    <w:rsid w:val="00CC084E"/>
    <w:rsid w:val="00CC1536"/>
    <w:rsid w:val="00CC17FE"/>
    <w:rsid w:val="00CC20E0"/>
    <w:rsid w:val="00CC28E0"/>
    <w:rsid w:val="00CC301B"/>
    <w:rsid w:val="00CC307E"/>
    <w:rsid w:val="00CC3398"/>
    <w:rsid w:val="00CC3978"/>
    <w:rsid w:val="00CC3A50"/>
    <w:rsid w:val="00CC44FF"/>
    <w:rsid w:val="00CC4855"/>
    <w:rsid w:val="00CC4D86"/>
    <w:rsid w:val="00CC5588"/>
    <w:rsid w:val="00CC5596"/>
    <w:rsid w:val="00CC5602"/>
    <w:rsid w:val="00CC5683"/>
    <w:rsid w:val="00CC56A2"/>
    <w:rsid w:val="00CC5C51"/>
    <w:rsid w:val="00CC60B2"/>
    <w:rsid w:val="00CC6225"/>
    <w:rsid w:val="00CC65DF"/>
    <w:rsid w:val="00CC670D"/>
    <w:rsid w:val="00CC6719"/>
    <w:rsid w:val="00CC6777"/>
    <w:rsid w:val="00CC680F"/>
    <w:rsid w:val="00CC684F"/>
    <w:rsid w:val="00CC6B61"/>
    <w:rsid w:val="00CC75FE"/>
    <w:rsid w:val="00CC776C"/>
    <w:rsid w:val="00CC789B"/>
    <w:rsid w:val="00CC7FE7"/>
    <w:rsid w:val="00CD01CB"/>
    <w:rsid w:val="00CD034B"/>
    <w:rsid w:val="00CD03EB"/>
    <w:rsid w:val="00CD0A7F"/>
    <w:rsid w:val="00CD1BEA"/>
    <w:rsid w:val="00CD1EB5"/>
    <w:rsid w:val="00CD2135"/>
    <w:rsid w:val="00CD2301"/>
    <w:rsid w:val="00CD265D"/>
    <w:rsid w:val="00CD270C"/>
    <w:rsid w:val="00CD2A62"/>
    <w:rsid w:val="00CD3069"/>
    <w:rsid w:val="00CD3FC4"/>
    <w:rsid w:val="00CD409A"/>
    <w:rsid w:val="00CD4711"/>
    <w:rsid w:val="00CD4B6F"/>
    <w:rsid w:val="00CD4BD3"/>
    <w:rsid w:val="00CD4C90"/>
    <w:rsid w:val="00CD5A2E"/>
    <w:rsid w:val="00CD5D3D"/>
    <w:rsid w:val="00CD6B79"/>
    <w:rsid w:val="00CD7327"/>
    <w:rsid w:val="00CD7612"/>
    <w:rsid w:val="00CD7A41"/>
    <w:rsid w:val="00CE05AA"/>
    <w:rsid w:val="00CE1E8D"/>
    <w:rsid w:val="00CE2219"/>
    <w:rsid w:val="00CE27C9"/>
    <w:rsid w:val="00CE3000"/>
    <w:rsid w:val="00CE32D8"/>
    <w:rsid w:val="00CE343E"/>
    <w:rsid w:val="00CE3459"/>
    <w:rsid w:val="00CE357A"/>
    <w:rsid w:val="00CE40EC"/>
    <w:rsid w:val="00CE41BC"/>
    <w:rsid w:val="00CE4441"/>
    <w:rsid w:val="00CE60BD"/>
    <w:rsid w:val="00CE62D9"/>
    <w:rsid w:val="00CE645E"/>
    <w:rsid w:val="00CE66AB"/>
    <w:rsid w:val="00CE676C"/>
    <w:rsid w:val="00CE6C4F"/>
    <w:rsid w:val="00CE6C9E"/>
    <w:rsid w:val="00CE6D30"/>
    <w:rsid w:val="00CE6FEA"/>
    <w:rsid w:val="00CE7389"/>
    <w:rsid w:val="00CE7556"/>
    <w:rsid w:val="00CE7811"/>
    <w:rsid w:val="00CE7BCF"/>
    <w:rsid w:val="00CE7F06"/>
    <w:rsid w:val="00CF1BBD"/>
    <w:rsid w:val="00CF26D3"/>
    <w:rsid w:val="00CF2A41"/>
    <w:rsid w:val="00CF36E8"/>
    <w:rsid w:val="00CF3AF6"/>
    <w:rsid w:val="00CF3FBE"/>
    <w:rsid w:val="00CF4285"/>
    <w:rsid w:val="00CF4416"/>
    <w:rsid w:val="00CF4662"/>
    <w:rsid w:val="00CF4831"/>
    <w:rsid w:val="00CF49B3"/>
    <w:rsid w:val="00CF49FF"/>
    <w:rsid w:val="00CF53FA"/>
    <w:rsid w:val="00CF59E5"/>
    <w:rsid w:val="00CF5F99"/>
    <w:rsid w:val="00CF6181"/>
    <w:rsid w:val="00CF61B1"/>
    <w:rsid w:val="00CF6558"/>
    <w:rsid w:val="00CF6B31"/>
    <w:rsid w:val="00CF74AC"/>
    <w:rsid w:val="00D006E6"/>
    <w:rsid w:val="00D007F9"/>
    <w:rsid w:val="00D00CDF"/>
    <w:rsid w:val="00D00DE5"/>
    <w:rsid w:val="00D00E66"/>
    <w:rsid w:val="00D01061"/>
    <w:rsid w:val="00D0121B"/>
    <w:rsid w:val="00D017D4"/>
    <w:rsid w:val="00D0184F"/>
    <w:rsid w:val="00D01B58"/>
    <w:rsid w:val="00D01B8A"/>
    <w:rsid w:val="00D01D20"/>
    <w:rsid w:val="00D03130"/>
    <w:rsid w:val="00D03553"/>
    <w:rsid w:val="00D03CE9"/>
    <w:rsid w:val="00D048E1"/>
    <w:rsid w:val="00D04A6C"/>
    <w:rsid w:val="00D05331"/>
    <w:rsid w:val="00D05428"/>
    <w:rsid w:val="00D05766"/>
    <w:rsid w:val="00D05E78"/>
    <w:rsid w:val="00D067C0"/>
    <w:rsid w:val="00D06B69"/>
    <w:rsid w:val="00D06B7E"/>
    <w:rsid w:val="00D074A5"/>
    <w:rsid w:val="00D076A3"/>
    <w:rsid w:val="00D10235"/>
    <w:rsid w:val="00D106B7"/>
    <w:rsid w:val="00D107EB"/>
    <w:rsid w:val="00D10D59"/>
    <w:rsid w:val="00D112F1"/>
    <w:rsid w:val="00D1180C"/>
    <w:rsid w:val="00D11C48"/>
    <w:rsid w:val="00D12924"/>
    <w:rsid w:val="00D12AE6"/>
    <w:rsid w:val="00D13891"/>
    <w:rsid w:val="00D13E8C"/>
    <w:rsid w:val="00D14135"/>
    <w:rsid w:val="00D148C7"/>
    <w:rsid w:val="00D14D86"/>
    <w:rsid w:val="00D14DD1"/>
    <w:rsid w:val="00D14F7A"/>
    <w:rsid w:val="00D158A4"/>
    <w:rsid w:val="00D160B6"/>
    <w:rsid w:val="00D175CA"/>
    <w:rsid w:val="00D202F0"/>
    <w:rsid w:val="00D20C0D"/>
    <w:rsid w:val="00D21184"/>
    <w:rsid w:val="00D212B1"/>
    <w:rsid w:val="00D212F5"/>
    <w:rsid w:val="00D21C08"/>
    <w:rsid w:val="00D21CAB"/>
    <w:rsid w:val="00D21F2E"/>
    <w:rsid w:val="00D223B3"/>
    <w:rsid w:val="00D22911"/>
    <w:rsid w:val="00D23946"/>
    <w:rsid w:val="00D242E2"/>
    <w:rsid w:val="00D24864"/>
    <w:rsid w:val="00D24A2A"/>
    <w:rsid w:val="00D24DC8"/>
    <w:rsid w:val="00D25473"/>
    <w:rsid w:val="00D255FF"/>
    <w:rsid w:val="00D25746"/>
    <w:rsid w:val="00D25885"/>
    <w:rsid w:val="00D25EDB"/>
    <w:rsid w:val="00D2604F"/>
    <w:rsid w:val="00D260D1"/>
    <w:rsid w:val="00D26E51"/>
    <w:rsid w:val="00D271E4"/>
    <w:rsid w:val="00D27899"/>
    <w:rsid w:val="00D27FCE"/>
    <w:rsid w:val="00D30055"/>
    <w:rsid w:val="00D30B99"/>
    <w:rsid w:val="00D30C5F"/>
    <w:rsid w:val="00D30F4F"/>
    <w:rsid w:val="00D31776"/>
    <w:rsid w:val="00D318D5"/>
    <w:rsid w:val="00D319C7"/>
    <w:rsid w:val="00D31F3A"/>
    <w:rsid w:val="00D32531"/>
    <w:rsid w:val="00D32768"/>
    <w:rsid w:val="00D32CFB"/>
    <w:rsid w:val="00D32FEF"/>
    <w:rsid w:val="00D33839"/>
    <w:rsid w:val="00D344B0"/>
    <w:rsid w:val="00D34AAF"/>
    <w:rsid w:val="00D34D85"/>
    <w:rsid w:val="00D352A1"/>
    <w:rsid w:val="00D35532"/>
    <w:rsid w:val="00D358D4"/>
    <w:rsid w:val="00D35C49"/>
    <w:rsid w:val="00D36011"/>
    <w:rsid w:val="00D36246"/>
    <w:rsid w:val="00D36E04"/>
    <w:rsid w:val="00D36FA7"/>
    <w:rsid w:val="00D379D1"/>
    <w:rsid w:val="00D414FB"/>
    <w:rsid w:val="00D420CC"/>
    <w:rsid w:val="00D423CC"/>
    <w:rsid w:val="00D4318C"/>
    <w:rsid w:val="00D432A4"/>
    <w:rsid w:val="00D43414"/>
    <w:rsid w:val="00D43569"/>
    <w:rsid w:val="00D439BC"/>
    <w:rsid w:val="00D448A0"/>
    <w:rsid w:val="00D4504D"/>
    <w:rsid w:val="00D45178"/>
    <w:rsid w:val="00D457DF"/>
    <w:rsid w:val="00D45B8A"/>
    <w:rsid w:val="00D46E71"/>
    <w:rsid w:val="00D46ED2"/>
    <w:rsid w:val="00D476B2"/>
    <w:rsid w:val="00D47BBE"/>
    <w:rsid w:val="00D47C7D"/>
    <w:rsid w:val="00D50BE7"/>
    <w:rsid w:val="00D5114A"/>
    <w:rsid w:val="00D5171D"/>
    <w:rsid w:val="00D51D95"/>
    <w:rsid w:val="00D521C6"/>
    <w:rsid w:val="00D524EA"/>
    <w:rsid w:val="00D52513"/>
    <w:rsid w:val="00D52AB9"/>
    <w:rsid w:val="00D53747"/>
    <w:rsid w:val="00D539C9"/>
    <w:rsid w:val="00D54036"/>
    <w:rsid w:val="00D549A6"/>
    <w:rsid w:val="00D554E2"/>
    <w:rsid w:val="00D5640D"/>
    <w:rsid w:val="00D57195"/>
    <w:rsid w:val="00D57720"/>
    <w:rsid w:val="00D5776F"/>
    <w:rsid w:val="00D578EA"/>
    <w:rsid w:val="00D57FBC"/>
    <w:rsid w:val="00D606F6"/>
    <w:rsid w:val="00D60953"/>
    <w:rsid w:val="00D60A66"/>
    <w:rsid w:val="00D60B6D"/>
    <w:rsid w:val="00D60F8C"/>
    <w:rsid w:val="00D61170"/>
    <w:rsid w:val="00D6161B"/>
    <w:rsid w:val="00D6192D"/>
    <w:rsid w:val="00D6197E"/>
    <w:rsid w:val="00D61BEC"/>
    <w:rsid w:val="00D621FC"/>
    <w:rsid w:val="00D62496"/>
    <w:rsid w:val="00D62511"/>
    <w:rsid w:val="00D6297A"/>
    <w:rsid w:val="00D62B44"/>
    <w:rsid w:val="00D6383A"/>
    <w:rsid w:val="00D6392E"/>
    <w:rsid w:val="00D63C6B"/>
    <w:rsid w:val="00D6445A"/>
    <w:rsid w:val="00D64824"/>
    <w:rsid w:val="00D65062"/>
    <w:rsid w:val="00D65736"/>
    <w:rsid w:val="00D657CB"/>
    <w:rsid w:val="00D65832"/>
    <w:rsid w:val="00D65A88"/>
    <w:rsid w:val="00D65CF0"/>
    <w:rsid w:val="00D66FFA"/>
    <w:rsid w:val="00D677A5"/>
    <w:rsid w:val="00D67B36"/>
    <w:rsid w:val="00D7011E"/>
    <w:rsid w:val="00D703DB"/>
    <w:rsid w:val="00D70524"/>
    <w:rsid w:val="00D70581"/>
    <w:rsid w:val="00D70C06"/>
    <w:rsid w:val="00D71F5B"/>
    <w:rsid w:val="00D735CB"/>
    <w:rsid w:val="00D74872"/>
    <w:rsid w:val="00D75885"/>
    <w:rsid w:val="00D758A7"/>
    <w:rsid w:val="00D75CB1"/>
    <w:rsid w:val="00D76974"/>
    <w:rsid w:val="00D77534"/>
    <w:rsid w:val="00D80898"/>
    <w:rsid w:val="00D8154D"/>
    <w:rsid w:val="00D8177D"/>
    <w:rsid w:val="00D81848"/>
    <w:rsid w:val="00D81A99"/>
    <w:rsid w:val="00D81AA1"/>
    <w:rsid w:val="00D81CE9"/>
    <w:rsid w:val="00D824FB"/>
    <w:rsid w:val="00D826CC"/>
    <w:rsid w:val="00D82792"/>
    <w:rsid w:val="00D83534"/>
    <w:rsid w:val="00D835D6"/>
    <w:rsid w:val="00D846D1"/>
    <w:rsid w:val="00D84E57"/>
    <w:rsid w:val="00D84F4C"/>
    <w:rsid w:val="00D85556"/>
    <w:rsid w:val="00D85AA8"/>
    <w:rsid w:val="00D85C3E"/>
    <w:rsid w:val="00D86952"/>
    <w:rsid w:val="00D86999"/>
    <w:rsid w:val="00D86C8B"/>
    <w:rsid w:val="00D86E4A"/>
    <w:rsid w:val="00D872BE"/>
    <w:rsid w:val="00D87889"/>
    <w:rsid w:val="00D901CA"/>
    <w:rsid w:val="00D907DC"/>
    <w:rsid w:val="00D90F89"/>
    <w:rsid w:val="00D91196"/>
    <w:rsid w:val="00D911E2"/>
    <w:rsid w:val="00D913CD"/>
    <w:rsid w:val="00D9150C"/>
    <w:rsid w:val="00D91748"/>
    <w:rsid w:val="00D91BE5"/>
    <w:rsid w:val="00D91DA8"/>
    <w:rsid w:val="00D91E6E"/>
    <w:rsid w:val="00D92983"/>
    <w:rsid w:val="00D92DBA"/>
    <w:rsid w:val="00D93D75"/>
    <w:rsid w:val="00D94945"/>
    <w:rsid w:val="00D94C45"/>
    <w:rsid w:val="00D958DC"/>
    <w:rsid w:val="00D95C4D"/>
    <w:rsid w:val="00D95C57"/>
    <w:rsid w:val="00D96286"/>
    <w:rsid w:val="00D96441"/>
    <w:rsid w:val="00D969F0"/>
    <w:rsid w:val="00D96F39"/>
    <w:rsid w:val="00DA0245"/>
    <w:rsid w:val="00DA02E0"/>
    <w:rsid w:val="00DA119E"/>
    <w:rsid w:val="00DA131D"/>
    <w:rsid w:val="00DA1787"/>
    <w:rsid w:val="00DA249C"/>
    <w:rsid w:val="00DA2884"/>
    <w:rsid w:val="00DA2EFC"/>
    <w:rsid w:val="00DA3607"/>
    <w:rsid w:val="00DA36AB"/>
    <w:rsid w:val="00DA378F"/>
    <w:rsid w:val="00DA3982"/>
    <w:rsid w:val="00DA3B30"/>
    <w:rsid w:val="00DA3B47"/>
    <w:rsid w:val="00DA3C22"/>
    <w:rsid w:val="00DA3D5F"/>
    <w:rsid w:val="00DA4075"/>
    <w:rsid w:val="00DA4115"/>
    <w:rsid w:val="00DA451B"/>
    <w:rsid w:val="00DA4D9C"/>
    <w:rsid w:val="00DA6B06"/>
    <w:rsid w:val="00DA73FD"/>
    <w:rsid w:val="00DA7594"/>
    <w:rsid w:val="00DA7D9F"/>
    <w:rsid w:val="00DB0B3B"/>
    <w:rsid w:val="00DB0CE9"/>
    <w:rsid w:val="00DB0EBD"/>
    <w:rsid w:val="00DB149C"/>
    <w:rsid w:val="00DB1B05"/>
    <w:rsid w:val="00DB21EB"/>
    <w:rsid w:val="00DB2804"/>
    <w:rsid w:val="00DB306A"/>
    <w:rsid w:val="00DB3436"/>
    <w:rsid w:val="00DB34CE"/>
    <w:rsid w:val="00DB3A01"/>
    <w:rsid w:val="00DB3C79"/>
    <w:rsid w:val="00DB3EE9"/>
    <w:rsid w:val="00DB4593"/>
    <w:rsid w:val="00DB47FC"/>
    <w:rsid w:val="00DB4C8C"/>
    <w:rsid w:val="00DB4DB7"/>
    <w:rsid w:val="00DB5198"/>
    <w:rsid w:val="00DB540E"/>
    <w:rsid w:val="00DB57AF"/>
    <w:rsid w:val="00DB60F5"/>
    <w:rsid w:val="00DB6A7B"/>
    <w:rsid w:val="00DB6C2B"/>
    <w:rsid w:val="00DB6C7F"/>
    <w:rsid w:val="00DB7268"/>
    <w:rsid w:val="00DB7519"/>
    <w:rsid w:val="00DB774C"/>
    <w:rsid w:val="00DB7986"/>
    <w:rsid w:val="00DB7B41"/>
    <w:rsid w:val="00DC0018"/>
    <w:rsid w:val="00DC01B7"/>
    <w:rsid w:val="00DC01E4"/>
    <w:rsid w:val="00DC0405"/>
    <w:rsid w:val="00DC09A8"/>
    <w:rsid w:val="00DC0BD8"/>
    <w:rsid w:val="00DC1D9C"/>
    <w:rsid w:val="00DC231F"/>
    <w:rsid w:val="00DC28A2"/>
    <w:rsid w:val="00DC28A7"/>
    <w:rsid w:val="00DC391A"/>
    <w:rsid w:val="00DC3CF9"/>
    <w:rsid w:val="00DC3E9D"/>
    <w:rsid w:val="00DC4052"/>
    <w:rsid w:val="00DC4148"/>
    <w:rsid w:val="00DC41D3"/>
    <w:rsid w:val="00DC4295"/>
    <w:rsid w:val="00DC47B2"/>
    <w:rsid w:val="00DC4963"/>
    <w:rsid w:val="00DC4F36"/>
    <w:rsid w:val="00DC501C"/>
    <w:rsid w:val="00DC58CA"/>
    <w:rsid w:val="00DC6511"/>
    <w:rsid w:val="00DC6928"/>
    <w:rsid w:val="00DD0817"/>
    <w:rsid w:val="00DD084B"/>
    <w:rsid w:val="00DD0CCE"/>
    <w:rsid w:val="00DD138B"/>
    <w:rsid w:val="00DD19CA"/>
    <w:rsid w:val="00DD1C62"/>
    <w:rsid w:val="00DD1CE3"/>
    <w:rsid w:val="00DD2795"/>
    <w:rsid w:val="00DD2BC3"/>
    <w:rsid w:val="00DD3B83"/>
    <w:rsid w:val="00DD3C11"/>
    <w:rsid w:val="00DD4715"/>
    <w:rsid w:val="00DD47D1"/>
    <w:rsid w:val="00DD47D4"/>
    <w:rsid w:val="00DD4909"/>
    <w:rsid w:val="00DD5453"/>
    <w:rsid w:val="00DD58E7"/>
    <w:rsid w:val="00DD5B37"/>
    <w:rsid w:val="00DD5B73"/>
    <w:rsid w:val="00DD5D43"/>
    <w:rsid w:val="00DD5E63"/>
    <w:rsid w:val="00DD6465"/>
    <w:rsid w:val="00DD6732"/>
    <w:rsid w:val="00DD7193"/>
    <w:rsid w:val="00DD7CE1"/>
    <w:rsid w:val="00DE0121"/>
    <w:rsid w:val="00DE04C1"/>
    <w:rsid w:val="00DE090D"/>
    <w:rsid w:val="00DE0A12"/>
    <w:rsid w:val="00DE19D0"/>
    <w:rsid w:val="00DE1CF4"/>
    <w:rsid w:val="00DE253C"/>
    <w:rsid w:val="00DE2677"/>
    <w:rsid w:val="00DE276A"/>
    <w:rsid w:val="00DE2793"/>
    <w:rsid w:val="00DE2901"/>
    <w:rsid w:val="00DE2AFD"/>
    <w:rsid w:val="00DE3072"/>
    <w:rsid w:val="00DE3F6A"/>
    <w:rsid w:val="00DE432B"/>
    <w:rsid w:val="00DE4A6A"/>
    <w:rsid w:val="00DE575C"/>
    <w:rsid w:val="00DE5B3F"/>
    <w:rsid w:val="00DE6446"/>
    <w:rsid w:val="00DE7E3E"/>
    <w:rsid w:val="00DE7E7F"/>
    <w:rsid w:val="00DE7F04"/>
    <w:rsid w:val="00DF0C54"/>
    <w:rsid w:val="00DF1BAF"/>
    <w:rsid w:val="00DF2288"/>
    <w:rsid w:val="00DF2D8E"/>
    <w:rsid w:val="00DF3288"/>
    <w:rsid w:val="00DF33CA"/>
    <w:rsid w:val="00DF3D27"/>
    <w:rsid w:val="00DF4477"/>
    <w:rsid w:val="00DF477D"/>
    <w:rsid w:val="00DF4972"/>
    <w:rsid w:val="00DF49C5"/>
    <w:rsid w:val="00DF5245"/>
    <w:rsid w:val="00DF5668"/>
    <w:rsid w:val="00DF5DD7"/>
    <w:rsid w:val="00DF5E8E"/>
    <w:rsid w:val="00DF5EEE"/>
    <w:rsid w:val="00DF6D85"/>
    <w:rsid w:val="00DF7436"/>
    <w:rsid w:val="00DF7450"/>
    <w:rsid w:val="00DF7C1D"/>
    <w:rsid w:val="00E004C1"/>
    <w:rsid w:val="00E0057B"/>
    <w:rsid w:val="00E01391"/>
    <w:rsid w:val="00E015CB"/>
    <w:rsid w:val="00E027C6"/>
    <w:rsid w:val="00E02B89"/>
    <w:rsid w:val="00E03909"/>
    <w:rsid w:val="00E03EB7"/>
    <w:rsid w:val="00E04A66"/>
    <w:rsid w:val="00E056B7"/>
    <w:rsid w:val="00E0608F"/>
    <w:rsid w:val="00E0762E"/>
    <w:rsid w:val="00E07BD4"/>
    <w:rsid w:val="00E07E79"/>
    <w:rsid w:val="00E07EEB"/>
    <w:rsid w:val="00E107A4"/>
    <w:rsid w:val="00E110FF"/>
    <w:rsid w:val="00E113C0"/>
    <w:rsid w:val="00E1161A"/>
    <w:rsid w:val="00E11DFE"/>
    <w:rsid w:val="00E1373A"/>
    <w:rsid w:val="00E139BB"/>
    <w:rsid w:val="00E13BF5"/>
    <w:rsid w:val="00E14083"/>
    <w:rsid w:val="00E141B5"/>
    <w:rsid w:val="00E1544B"/>
    <w:rsid w:val="00E159A4"/>
    <w:rsid w:val="00E15EC1"/>
    <w:rsid w:val="00E16363"/>
    <w:rsid w:val="00E164E1"/>
    <w:rsid w:val="00E16C1E"/>
    <w:rsid w:val="00E17093"/>
    <w:rsid w:val="00E17F82"/>
    <w:rsid w:val="00E20999"/>
    <w:rsid w:val="00E209E5"/>
    <w:rsid w:val="00E222AC"/>
    <w:rsid w:val="00E22FA0"/>
    <w:rsid w:val="00E23192"/>
    <w:rsid w:val="00E2333D"/>
    <w:rsid w:val="00E235E0"/>
    <w:rsid w:val="00E236BE"/>
    <w:rsid w:val="00E23BBE"/>
    <w:rsid w:val="00E23D2D"/>
    <w:rsid w:val="00E241BB"/>
    <w:rsid w:val="00E2429B"/>
    <w:rsid w:val="00E24AE7"/>
    <w:rsid w:val="00E256C6"/>
    <w:rsid w:val="00E2614E"/>
    <w:rsid w:val="00E263E2"/>
    <w:rsid w:val="00E26583"/>
    <w:rsid w:val="00E26770"/>
    <w:rsid w:val="00E30E21"/>
    <w:rsid w:val="00E31511"/>
    <w:rsid w:val="00E315F6"/>
    <w:rsid w:val="00E316F4"/>
    <w:rsid w:val="00E31876"/>
    <w:rsid w:val="00E31B88"/>
    <w:rsid w:val="00E32306"/>
    <w:rsid w:val="00E32A66"/>
    <w:rsid w:val="00E32BFB"/>
    <w:rsid w:val="00E32E71"/>
    <w:rsid w:val="00E3313D"/>
    <w:rsid w:val="00E33BB9"/>
    <w:rsid w:val="00E33FDA"/>
    <w:rsid w:val="00E34AA2"/>
    <w:rsid w:val="00E350CE"/>
    <w:rsid w:val="00E3517D"/>
    <w:rsid w:val="00E3578A"/>
    <w:rsid w:val="00E3616F"/>
    <w:rsid w:val="00E361DA"/>
    <w:rsid w:val="00E36351"/>
    <w:rsid w:val="00E36C33"/>
    <w:rsid w:val="00E3728C"/>
    <w:rsid w:val="00E402BB"/>
    <w:rsid w:val="00E40B93"/>
    <w:rsid w:val="00E40E3E"/>
    <w:rsid w:val="00E41A81"/>
    <w:rsid w:val="00E41F3F"/>
    <w:rsid w:val="00E41FD4"/>
    <w:rsid w:val="00E42015"/>
    <w:rsid w:val="00E42064"/>
    <w:rsid w:val="00E4282D"/>
    <w:rsid w:val="00E42ED0"/>
    <w:rsid w:val="00E4386E"/>
    <w:rsid w:val="00E43954"/>
    <w:rsid w:val="00E43CA8"/>
    <w:rsid w:val="00E43E1F"/>
    <w:rsid w:val="00E43FBD"/>
    <w:rsid w:val="00E44005"/>
    <w:rsid w:val="00E4458F"/>
    <w:rsid w:val="00E4486D"/>
    <w:rsid w:val="00E44BA4"/>
    <w:rsid w:val="00E45595"/>
    <w:rsid w:val="00E4570B"/>
    <w:rsid w:val="00E45D70"/>
    <w:rsid w:val="00E45EA2"/>
    <w:rsid w:val="00E4673F"/>
    <w:rsid w:val="00E467F7"/>
    <w:rsid w:val="00E4694A"/>
    <w:rsid w:val="00E50140"/>
    <w:rsid w:val="00E50309"/>
    <w:rsid w:val="00E5093D"/>
    <w:rsid w:val="00E50C03"/>
    <w:rsid w:val="00E50C58"/>
    <w:rsid w:val="00E50D0E"/>
    <w:rsid w:val="00E50E7A"/>
    <w:rsid w:val="00E510D6"/>
    <w:rsid w:val="00E51216"/>
    <w:rsid w:val="00E51E3E"/>
    <w:rsid w:val="00E5234C"/>
    <w:rsid w:val="00E524B0"/>
    <w:rsid w:val="00E525D6"/>
    <w:rsid w:val="00E53523"/>
    <w:rsid w:val="00E54827"/>
    <w:rsid w:val="00E548B3"/>
    <w:rsid w:val="00E54A12"/>
    <w:rsid w:val="00E55005"/>
    <w:rsid w:val="00E55588"/>
    <w:rsid w:val="00E56839"/>
    <w:rsid w:val="00E56843"/>
    <w:rsid w:val="00E568E1"/>
    <w:rsid w:val="00E56906"/>
    <w:rsid w:val="00E56B6B"/>
    <w:rsid w:val="00E577AC"/>
    <w:rsid w:val="00E57BEC"/>
    <w:rsid w:val="00E6010A"/>
    <w:rsid w:val="00E6042A"/>
    <w:rsid w:val="00E604E3"/>
    <w:rsid w:val="00E609CF"/>
    <w:rsid w:val="00E61A64"/>
    <w:rsid w:val="00E62706"/>
    <w:rsid w:val="00E632AB"/>
    <w:rsid w:val="00E6333F"/>
    <w:rsid w:val="00E63502"/>
    <w:rsid w:val="00E644F0"/>
    <w:rsid w:val="00E64DA7"/>
    <w:rsid w:val="00E64FA7"/>
    <w:rsid w:val="00E65F0F"/>
    <w:rsid w:val="00E661AA"/>
    <w:rsid w:val="00E66284"/>
    <w:rsid w:val="00E6684F"/>
    <w:rsid w:val="00E672D1"/>
    <w:rsid w:val="00E67774"/>
    <w:rsid w:val="00E70007"/>
    <w:rsid w:val="00E710B6"/>
    <w:rsid w:val="00E71551"/>
    <w:rsid w:val="00E7160B"/>
    <w:rsid w:val="00E71802"/>
    <w:rsid w:val="00E71927"/>
    <w:rsid w:val="00E71DE8"/>
    <w:rsid w:val="00E7298F"/>
    <w:rsid w:val="00E72F37"/>
    <w:rsid w:val="00E73577"/>
    <w:rsid w:val="00E73AD8"/>
    <w:rsid w:val="00E73EF5"/>
    <w:rsid w:val="00E73F57"/>
    <w:rsid w:val="00E74364"/>
    <w:rsid w:val="00E74679"/>
    <w:rsid w:val="00E75603"/>
    <w:rsid w:val="00E75645"/>
    <w:rsid w:val="00E76411"/>
    <w:rsid w:val="00E767B7"/>
    <w:rsid w:val="00E76877"/>
    <w:rsid w:val="00E76ABC"/>
    <w:rsid w:val="00E76C83"/>
    <w:rsid w:val="00E771CE"/>
    <w:rsid w:val="00E7767A"/>
    <w:rsid w:val="00E7793B"/>
    <w:rsid w:val="00E80174"/>
    <w:rsid w:val="00E80448"/>
    <w:rsid w:val="00E8047F"/>
    <w:rsid w:val="00E80697"/>
    <w:rsid w:val="00E80705"/>
    <w:rsid w:val="00E8150D"/>
    <w:rsid w:val="00E81779"/>
    <w:rsid w:val="00E82269"/>
    <w:rsid w:val="00E82457"/>
    <w:rsid w:val="00E82601"/>
    <w:rsid w:val="00E82CB0"/>
    <w:rsid w:val="00E83710"/>
    <w:rsid w:val="00E8377C"/>
    <w:rsid w:val="00E837FD"/>
    <w:rsid w:val="00E838D1"/>
    <w:rsid w:val="00E839A6"/>
    <w:rsid w:val="00E83FB7"/>
    <w:rsid w:val="00E848F7"/>
    <w:rsid w:val="00E85116"/>
    <w:rsid w:val="00E8573D"/>
    <w:rsid w:val="00E859F5"/>
    <w:rsid w:val="00E85CBC"/>
    <w:rsid w:val="00E8649A"/>
    <w:rsid w:val="00E86606"/>
    <w:rsid w:val="00E8672E"/>
    <w:rsid w:val="00E8717C"/>
    <w:rsid w:val="00E873B2"/>
    <w:rsid w:val="00E879D4"/>
    <w:rsid w:val="00E87F0E"/>
    <w:rsid w:val="00E90011"/>
    <w:rsid w:val="00E903CD"/>
    <w:rsid w:val="00E910B4"/>
    <w:rsid w:val="00E91428"/>
    <w:rsid w:val="00E9147D"/>
    <w:rsid w:val="00E9161D"/>
    <w:rsid w:val="00E91666"/>
    <w:rsid w:val="00E9199D"/>
    <w:rsid w:val="00E91AB8"/>
    <w:rsid w:val="00E91BA5"/>
    <w:rsid w:val="00E91D46"/>
    <w:rsid w:val="00E923B4"/>
    <w:rsid w:val="00E925AE"/>
    <w:rsid w:val="00E92716"/>
    <w:rsid w:val="00E92A3C"/>
    <w:rsid w:val="00E92C18"/>
    <w:rsid w:val="00E9372D"/>
    <w:rsid w:val="00E9379B"/>
    <w:rsid w:val="00E937A0"/>
    <w:rsid w:val="00E93BC4"/>
    <w:rsid w:val="00E943DD"/>
    <w:rsid w:val="00E9481A"/>
    <w:rsid w:val="00E94834"/>
    <w:rsid w:val="00E9489E"/>
    <w:rsid w:val="00E95438"/>
    <w:rsid w:val="00E95937"/>
    <w:rsid w:val="00E95A92"/>
    <w:rsid w:val="00E964C6"/>
    <w:rsid w:val="00E96C96"/>
    <w:rsid w:val="00E9719D"/>
    <w:rsid w:val="00E9722C"/>
    <w:rsid w:val="00EA0875"/>
    <w:rsid w:val="00EA092F"/>
    <w:rsid w:val="00EA0E13"/>
    <w:rsid w:val="00EA186F"/>
    <w:rsid w:val="00EA1AE6"/>
    <w:rsid w:val="00EA2015"/>
    <w:rsid w:val="00EA24A6"/>
    <w:rsid w:val="00EA2AEC"/>
    <w:rsid w:val="00EA2CF4"/>
    <w:rsid w:val="00EA3388"/>
    <w:rsid w:val="00EA36E0"/>
    <w:rsid w:val="00EA36F1"/>
    <w:rsid w:val="00EA37F0"/>
    <w:rsid w:val="00EA3880"/>
    <w:rsid w:val="00EA3DF8"/>
    <w:rsid w:val="00EA4641"/>
    <w:rsid w:val="00EA4780"/>
    <w:rsid w:val="00EA482B"/>
    <w:rsid w:val="00EA4AF1"/>
    <w:rsid w:val="00EA51E6"/>
    <w:rsid w:val="00EA5836"/>
    <w:rsid w:val="00EA60E8"/>
    <w:rsid w:val="00EA63BE"/>
    <w:rsid w:val="00EA6508"/>
    <w:rsid w:val="00EA683C"/>
    <w:rsid w:val="00EA6A4A"/>
    <w:rsid w:val="00EA6DAA"/>
    <w:rsid w:val="00EA7372"/>
    <w:rsid w:val="00EA7909"/>
    <w:rsid w:val="00EB04B8"/>
    <w:rsid w:val="00EB078A"/>
    <w:rsid w:val="00EB0992"/>
    <w:rsid w:val="00EB0BEF"/>
    <w:rsid w:val="00EB153C"/>
    <w:rsid w:val="00EB1F11"/>
    <w:rsid w:val="00EB26B7"/>
    <w:rsid w:val="00EB2979"/>
    <w:rsid w:val="00EB2983"/>
    <w:rsid w:val="00EB2F38"/>
    <w:rsid w:val="00EB34FF"/>
    <w:rsid w:val="00EB3D2A"/>
    <w:rsid w:val="00EB3D71"/>
    <w:rsid w:val="00EB504A"/>
    <w:rsid w:val="00EB5069"/>
    <w:rsid w:val="00EB5238"/>
    <w:rsid w:val="00EB539B"/>
    <w:rsid w:val="00EB56BF"/>
    <w:rsid w:val="00EB59D6"/>
    <w:rsid w:val="00EB5F7F"/>
    <w:rsid w:val="00EB60D5"/>
    <w:rsid w:val="00EB65E9"/>
    <w:rsid w:val="00EB6DE2"/>
    <w:rsid w:val="00EB6F94"/>
    <w:rsid w:val="00EB78D0"/>
    <w:rsid w:val="00EB7900"/>
    <w:rsid w:val="00EB7CA4"/>
    <w:rsid w:val="00EC00AB"/>
    <w:rsid w:val="00EC039B"/>
    <w:rsid w:val="00EC03B3"/>
    <w:rsid w:val="00EC03FC"/>
    <w:rsid w:val="00EC07E1"/>
    <w:rsid w:val="00EC0842"/>
    <w:rsid w:val="00EC16A5"/>
    <w:rsid w:val="00EC1837"/>
    <w:rsid w:val="00EC1900"/>
    <w:rsid w:val="00EC1B9E"/>
    <w:rsid w:val="00EC20C5"/>
    <w:rsid w:val="00EC23F6"/>
    <w:rsid w:val="00EC244F"/>
    <w:rsid w:val="00EC283D"/>
    <w:rsid w:val="00EC2DA6"/>
    <w:rsid w:val="00EC35C9"/>
    <w:rsid w:val="00EC4273"/>
    <w:rsid w:val="00EC453A"/>
    <w:rsid w:val="00EC4B9F"/>
    <w:rsid w:val="00EC4CC3"/>
    <w:rsid w:val="00EC4D7A"/>
    <w:rsid w:val="00EC4E83"/>
    <w:rsid w:val="00EC6238"/>
    <w:rsid w:val="00EC7D95"/>
    <w:rsid w:val="00EC7E70"/>
    <w:rsid w:val="00ED0209"/>
    <w:rsid w:val="00ED035F"/>
    <w:rsid w:val="00ED0659"/>
    <w:rsid w:val="00ED0672"/>
    <w:rsid w:val="00ED0C42"/>
    <w:rsid w:val="00ED0FCD"/>
    <w:rsid w:val="00ED19DD"/>
    <w:rsid w:val="00ED19F6"/>
    <w:rsid w:val="00ED1DA5"/>
    <w:rsid w:val="00ED2320"/>
    <w:rsid w:val="00ED2728"/>
    <w:rsid w:val="00ED27A0"/>
    <w:rsid w:val="00ED2AC1"/>
    <w:rsid w:val="00ED2BC8"/>
    <w:rsid w:val="00ED2D08"/>
    <w:rsid w:val="00ED2DA9"/>
    <w:rsid w:val="00ED3217"/>
    <w:rsid w:val="00ED3265"/>
    <w:rsid w:val="00ED37FF"/>
    <w:rsid w:val="00ED4D58"/>
    <w:rsid w:val="00ED5466"/>
    <w:rsid w:val="00ED55F3"/>
    <w:rsid w:val="00ED6406"/>
    <w:rsid w:val="00ED64BF"/>
    <w:rsid w:val="00ED6FAA"/>
    <w:rsid w:val="00ED7CA9"/>
    <w:rsid w:val="00EE04DE"/>
    <w:rsid w:val="00EE0552"/>
    <w:rsid w:val="00EE0C90"/>
    <w:rsid w:val="00EE0D7A"/>
    <w:rsid w:val="00EE0FBF"/>
    <w:rsid w:val="00EE18CE"/>
    <w:rsid w:val="00EE1B7C"/>
    <w:rsid w:val="00EE1FF2"/>
    <w:rsid w:val="00EE21E2"/>
    <w:rsid w:val="00EE265B"/>
    <w:rsid w:val="00EE2D0C"/>
    <w:rsid w:val="00EE2DAE"/>
    <w:rsid w:val="00EE4A75"/>
    <w:rsid w:val="00EE4B83"/>
    <w:rsid w:val="00EE51FC"/>
    <w:rsid w:val="00EE5678"/>
    <w:rsid w:val="00EE5D13"/>
    <w:rsid w:val="00EE60F4"/>
    <w:rsid w:val="00EE691D"/>
    <w:rsid w:val="00EE6E2F"/>
    <w:rsid w:val="00EE711D"/>
    <w:rsid w:val="00EE730B"/>
    <w:rsid w:val="00EF0B6C"/>
    <w:rsid w:val="00EF247F"/>
    <w:rsid w:val="00EF26D1"/>
    <w:rsid w:val="00EF2F2A"/>
    <w:rsid w:val="00EF360A"/>
    <w:rsid w:val="00EF3BDE"/>
    <w:rsid w:val="00EF3EF1"/>
    <w:rsid w:val="00EF3FA7"/>
    <w:rsid w:val="00EF43EF"/>
    <w:rsid w:val="00EF4522"/>
    <w:rsid w:val="00EF556F"/>
    <w:rsid w:val="00EF5EF0"/>
    <w:rsid w:val="00EF5EF7"/>
    <w:rsid w:val="00EF5FF9"/>
    <w:rsid w:val="00EF6D45"/>
    <w:rsid w:val="00EF710D"/>
    <w:rsid w:val="00EF773E"/>
    <w:rsid w:val="00F00207"/>
    <w:rsid w:val="00F0075C"/>
    <w:rsid w:val="00F00901"/>
    <w:rsid w:val="00F0130F"/>
    <w:rsid w:val="00F01B34"/>
    <w:rsid w:val="00F01B99"/>
    <w:rsid w:val="00F02EFF"/>
    <w:rsid w:val="00F031E2"/>
    <w:rsid w:val="00F032A6"/>
    <w:rsid w:val="00F0372D"/>
    <w:rsid w:val="00F03AE9"/>
    <w:rsid w:val="00F042D6"/>
    <w:rsid w:val="00F0561F"/>
    <w:rsid w:val="00F05676"/>
    <w:rsid w:val="00F05987"/>
    <w:rsid w:val="00F05B3C"/>
    <w:rsid w:val="00F05E5B"/>
    <w:rsid w:val="00F06842"/>
    <w:rsid w:val="00F10ACE"/>
    <w:rsid w:val="00F10ADF"/>
    <w:rsid w:val="00F10BD3"/>
    <w:rsid w:val="00F11275"/>
    <w:rsid w:val="00F1140E"/>
    <w:rsid w:val="00F116FD"/>
    <w:rsid w:val="00F11AAA"/>
    <w:rsid w:val="00F11C79"/>
    <w:rsid w:val="00F11FB4"/>
    <w:rsid w:val="00F1253B"/>
    <w:rsid w:val="00F127F3"/>
    <w:rsid w:val="00F128F5"/>
    <w:rsid w:val="00F12998"/>
    <w:rsid w:val="00F12C7E"/>
    <w:rsid w:val="00F12CCF"/>
    <w:rsid w:val="00F12DFD"/>
    <w:rsid w:val="00F133DB"/>
    <w:rsid w:val="00F13411"/>
    <w:rsid w:val="00F14590"/>
    <w:rsid w:val="00F14B14"/>
    <w:rsid w:val="00F14C53"/>
    <w:rsid w:val="00F14E0C"/>
    <w:rsid w:val="00F14FD8"/>
    <w:rsid w:val="00F15167"/>
    <w:rsid w:val="00F1626E"/>
    <w:rsid w:val="00F169C5"/>
    <w:rsid w:val="00F170FF"/>
    <w:rsid w:val="00F17BA7"/>
    <w:rsid w:val="00F17E17"/>
    <w:rsid w:val="00F203C4"/>
    <w:rsid w:val="00F20CAE"/>
    <w:rsid w:val="00F20D6B"/>
    <w:rsid w:val="00F21286"/>
    <w:rsid w:val="00F2144C"/>
    <w:rsid w:val="00F214A5"/>
    <w:rsid w:val="00F214A8"/>
    <w:rsid w:val="00F221AB"/>
    <w:rsid w:val="00F22454"/>
    <w:rsid w:val="00F22A59"/>
    <w:rsid w:val="00F23010"/>
    <w:rsid w:val="00F238D3"/>
    <w:rsid w:val="00F23B04"/>
    <w:rsid w:val="00F23EF6"/>
    <w:rsid w:val="00F24A0A"/>
    <w:rsid w:val="00F24C69"/>
    <w:rsid w:val="00F25632"/>
    <w:rsid w:val="00F26346"/>
    <w:rsid w:val="00F265D4"/>
    <w:rsid w:val="00F26C3A"/>
    <w:rsid w:val="00F26E96"/>
    <w:rsid w:val="00F26EE0"/>
    <w:rsid w:val="00F277D0"/>
    <w:rsid w:val="00F30F5F"/>
    <w:rsid w:val="00F312D6"/>
    <w:rsid w:val="00F31552"/>
    <w:rsid w:val="00F31E77"/>
    <w:rsid w:val="00F31F51"/>
    <w:rsid w:val="00F325D5"/>
    <w:rsid w:val="00F326AE"/>
    <w:rsid w:val="00F32EF3"/>
    <w:rsid w:val="00F33B5B"/>
    <w:rsid w:val="00F3494F"/>
    <w:rsid w:val="00F34FFB"/>
    <w:rsid w:val="00F35204"/>
    <w:rsid w:val="00F356FB"/>
    <w:rsid w:val="00F35A51"/>
    <w:rsid w:val="00F36205"/>
    <w:rsid w:val="00F3675A"/>
    <w:rsid w:val="00F36BD8"/>
    <w:rsid w:val="00F374F1"/>
    <w:rsid w:val="00F37791"/>
    <w:rsid w:val="00F37B63"/>
    <w:rsid w:val="00F37C45"/>
    <w:rsid w:val="00F37CB7"/>
    <w:rsid w:val="00F37F7F"/>
    <w:rsid w:val="00F37FB0"/>
    <w:rsid w:val="00F40621"/>
    <w:rsid w:val="00F407B1"/>
    <w:rsid w:val="00F40AC9"/>
    <w:rsid w:val="00F40B48"/>
    <w:rsid w:val="00F40D0E"/>
    <w:rsid w:val="00F41240"/>
    <w:rsid w:val="00F412C8"/>
    <w:rsid w:val="00F41626"/>
    <w:rsid w:val="00F41AC8"/>
    <w:rsid w:val="00F41E35"/>
    <w:rsid w:val="00F42333"/>
    <w:rsid w:val="00F427D7"/>
    <w:rsid w:val="00F42A7C"/>
    <w:rsid w:val="00F42E33"/>
    <w:rsid w:val="00F42E5E"/>
    <w:rsid w:val="00F443DC"/>
    <w:rsid w:val="00F4443C"/>
    <w:rsid w:val="00F45453"/>
    <w:rsid w:val="00F45727"/>
    <w:rsid w:val="00F468FD"/>
    <w:rsid w:val="00F47D9F"/>
    <w:rsid w:val="00F507E4"/>
    <w:rsid w:val="00F508FD"/>
    <w:rsid w:val="00F51316"/>
    <w:rsid w:val="00F51393"/>
    <w:rsid w:val="00F51FFA"/>
    <w:rsid w:val="00F5336F"/>
    <w:rsid w:val="00F5385F"/>
    <w:rsid w:val="00F5413F"/>
    <w:rsid w:val="00F5480E"/>
    <w:rsid w:val="00F54A13"/>
    <w:rsid w:val="00F55730"/>
    <w:rsid w:val="00F56B2B"/>
    <w:rsid w:val="00F5730C"/>
    <w:rsid w:val="00F576F1"/>
    <w:rsid w:val="00F60300"/>
    <w:rsid w:val="00F60560"/>
    <w:rsid w:val="00F60587"/>
    <w:rsid w:val="00F607DA"/>
    <w:rsid w:val="00F60C2F"/>
    <w:rsid w:val="00F60E24"/>
    <w:rsid w:val="00F610DA"/>
    <w:rsid w:val="00F61269"/>
    <w:rsid w:val="00F61A64"/>
    <w:rsid w:val="00F62000"/>
    <w:rsid w:val="00F6200D"/>
    <w:rsid w:val="00F63B5C"/>
    <w:rsid w:val="00F640B1"/>
    <w:rsid w:val="00F64AA4"/>
    <w:rsid w:val="00F658E8"/>
    <w:rsid w:val="00F65D1D"/>
    <w:rsid w:val="00F669F7"/>
    <w:rsid w:val="00F6746F"/>
    <w:rsid w:val="00F67A84"/>
    <w:rsid w:val="00F704D9"/>
    <w:rsid w:val="00F70722"/>
    <w:rsid w:val="00F70977"/>
    <w:rsid w:val="00F70A2D"/>
    <w:rsid w:val="00F70D4D"/>
    <w:rsid w:val="00F7107D"/>
    <w:rsid w:val="00F715D8"/>
    <w:rsid w:val="00F71801"/>
    <w:rsid w:val="00F7264E"/>
    <w:rsid w:val="00F72788"/>
    <w:rsid w:val="00F73077"/>
    <w:rsid w:val="00F732A5"/>
    <w:rsid w:val="00F73368"/>
    <w:rsid w:val="00F73DE9"/>
    <w:rsid w:val="00F741AA"/>
    <w:rsid w:val="00F74453"/>
    <w:rsid w:val="00F749B4"/>
    <w:rsid w:val="00F74B19"/>
    <w:rsid w:val="00F752BD"/>
    <w:rsid w:val="00F75F00"/>
    <w:rsid w:val="00F76629"/>
    <w:rsid w:val="00F76FAD"/>
    <w:rsid w:val="00F76FF5"/>
    <w:rsid w:val="00F77A60"/>
    <w:rsid w:val="00F77EED"/>
    <w:rsid w:val="00F80112"/>
    <w:rsid w:val="00F803B8"/>
    <w:rsid w:val="00F80830"/>
    <w:rsid w:val="00F80940"/>
    <w:rsid w:val="00F8105E"/>
    <w:rsid w:val="00F8160A"/>
    <w:rsid w:val="00F8182A"/>
    <w:rsid w:val="00F81BD7"/>
    <w:rsid w:val="00F8232C"/>
    <w:rsid w:val="00F8265E"/>
    <w:rsid w:val="00F835CF"/>
    <w:rsid w:val="00F83BA7"/>
    <w:rsid w:val="00F83BB3"/>
    <w:rsid w:val="00F83CC4"/>
    <w:rsid w:val="00F841E3"/>
    <w:rsid w:val="00F8463B"/>
    <w:rsid w:val="00F852F5"/>
    <w:rsid w:val="00F855A7"/>
    <w:rsid w:val="00F857C1"/>
    <w:rsid w:val="00F857F1"/>
    <w:rsid w:val="00F85D6C"/>
    <w:rsid w:val="00F85E81"/>
    <w:rsid w:val="00F86083"/>
    <w:rsid w:val="00F86590"/>
    <w:rsid w:val="00F867D3"/>
    <w:rsid w:val="00F86EAC"/>
    <w:rsid w:val="00F8704B"/>
    <w:rsid w:val="00F8729C"/>
    <w:rsid w:val="00F87ADB"/>
    <w:rsid w:val="00F87BAE"/>
    <w:rsid w:val="00F87C27"/>
    <w:rsid w:val="00F87C7A"/>
    <w:rsid w:val="00F87EBB"/>
    <w:rsid w:val="00F90675"/>
    <w:rsid w:val="00F908E2"/>
    <w:rsid w:val="00F9117F"/>
    <w:rsid w:val="00F911AD"/>
    <w:rsid w:val="00F91F24"/>
    <w:rsid w:val="00F928A1"/>
    <w:rsid w:val="00F93012"/>
    <w:rsid w:val="00F93605"/>
    <w:rsid w:val="00F936D8"/>
    <w:rsid w:val="00F93C44"/>
    <w:rsid w:val="00F9465B"/>
    <w:rsid w:val="00F94670"/>
    <w:rsid w:val="00F9491E"/>
    <w:rsid w:val="00F94D43"/>
    <w:rsid w:val="00F95013"/>
    <w:rsid w:val="00F95DA2"/>
    <w:rsid w:val="00F95DE2"/>
    <w:rsid w:val="00F95F82"/>
    <w:rsid w:val="00F9633D"/>
    <w:rsid w:val="00F96E00"/>
    <w:rsid w:val="00F97529"/>
    <w:rsid w:val="00F978FE"/>
    <w:rsid w:val="00FA00A3"/>
    <w:rsid w:val="00FA02DB"/>
    <w:rsid w:val="00FA04C1"/>
    <w:rsid w:val="00FA09B9"/>
    <w:rsid w:val="00FA0A75"/>
    <w:rsid w:val="00FA2383"/>
    <w:rsid w:val="00FA2EBB"/>
    <w:rsid w:val="00FA2F91"/>
    <w:rsid w:val="00FA3355"/>
    <w:rsid w:val="00FA3A82"/>
    <w:rsid w:val="00FA3FA8"/>
    <w:rsid w:val="00FA4110"/>
    <w:rsid w:val="00FA43A9"/>
    <w:rsid w:val="00FA4859"/>
    <w:rsid w:val="00FA4CFB"/>
    <w:rsid w:val="00FA4D45"/>
    <w:rsid w:val="00FA50C4"/>
    <w:rsid w:val="00FA5B19"/>
    <w:rsid w:val="00FA5C18"/>
    <w:rsid w:val="00FA786A"/>
    <w:rsid w:val="00FB0E23"/>
    <w:rsid w:val="00FB1216"/>
    <w:rsid w:val="00FB13B3"/>
    <w:rsid w:val="00FB1536"/>
    <w:rsid w:val="00FB1547"/>
    <w:rsid w:val="00FB175C"/>
    <w:rsid w:val="00FB18A0"/>
    <w:rsid w:val="00FB18CD"/>
    <w:rsid w:val="00FB1C4B"/>
    <w:rsid w:val="00FB2431"/>
    <w:rsid w:val="00FB25C5"/>
    <w:rsid w:val="00FB3103"/>
    <w:rsid w:val="00FB42B5"/>
    <w:rsid w:val="00FB47D7"/>
    <w:rsid w:val="00FB4A12"/>
    <w:rsid w:val="00FB4D0F"/>
    <w:rsid w:val="00FB55CB"/>
    <w:rsid w:val="00FB570A"/>
    <w:rsid w:val="00FB576D"/>
    <w:rsid w:val="00FB5AC8"/>
    <w:rsid w:val="00FB5EF9"/>
    <w:rsid w:val="00FB68C8"/>
    <w:rsid w:val="00FB6961"/>
    <w:rsid w:val="00FB6A77"/>
    <w:rsid w:val="00FB7135"/>
    <w:rsid w:val="00FB7476"/>
    <w:rsid w:val="00FB7553"/>
    <w:rsid w:val="00FC0531"/>
    <w:rsid w:val="00FC095A"/>
    <w:rsid w:val="00FC11CB"/>
    <w:rsid w:val="00FC143C"/>
    <w:rsid w:val="00FC1C91"/>
    <w:rsid w:val="00FC1E65"/>
    <w:rsid w:val="00FC2198"/>
    <w:rsid w:val="00FC2F0C"/>
    <w:rsid w:val="00FC321D"/>
    <w:rsid w:val="00FC3234"/>
    <w:rsid w:val="00FC3785"/>
    <w:rsid w:val="00FC4D7A"/>
    <w:rsid w:val="00FC4F4A"/>
    <w:rsid w:val="00FC4F97"/>
    <w:rsid w:val="00FC5218"/>
    <w:rsid w:val="00FC5CF5"/>
    <w:rsid w:val="00FC5F26"/>
    <w:rsid w:val="00FC68C3"/>
    <w:rsid w:val="00FC7CAB"/>
    <w:rsid w:val="00FC7CDA"/>
    <w:rsid w:val="00FD056E"/>
    <w:rsid w:val="00FD0690"/>
    <w:rsid w:val="00FD0BB0"/>
    <w:rsid w:val="00FD18EE"/>
    <w:rsid w:val="00FD2285"/>
    <w:rsid w:val="00FD2C9F"/>
    <w:rsid w:val="00FD2F37"/>
    <w:rsid w:val="00FD3C95"/>
    <w:rsid w:val="00FD4E91"/>
    <w:rsid w:val="00FD4F36"/>
    <w:rsid w:val="00FD4F50"/>
    <w:rsid w:val="00FD51C0"/>
    <w:rsid w:val="00FD52D1"/>
    <w:rsid w:val="00FD5468"/>
    <w:rsid w:val="00FD5770"/>
    <w:rsid w:val="00FD5931"/>
    <w:rsid w:val="00FD5C5F"/>
    <w:rsid w:val="00FD5E8D"/>
    <w:rsid w:val="00FD61C0"/>
    <w:rsid w:val="00FD6FB6"/>
    <w:rsid w:val="00FD700D"/>
    <w:rsid w:val="00FD7DD2"/>
    <w:rsid w:val="00FE0196"/>
    <w:rsid w:val="00FE0CF5"/>
    <w:rsid w:val="00FE0E9D"/>
    <w:rsid w:val="00FE0EB0"/>
    <w:rsid w:val="00FE0F17"/>
    <w:rsid w:val="00FE23B4"/>
    <w:rsid w:val="00FE2475"/>
    <w:rsid w:val="00FE27EB"/>
    <w:rsid w:val="00FE297B"/>
    <w:rsid w:val="00FE35DD"/>
    <w:rsid w:val="00FE436C"/>
    <w:rsid w:val="00FE45AB"/>
    <w:rsid w:val="00FE4738"/>
    <w:rsid w:val="00FE5567"/>
    <w:rsid w:val="00FE5E6D"/>
    <w:rsid w:val="00FE64E8"/>
    <w:rsid w:val="00FE6669"/>
    <w:rsid w:val="00FF04C8"/>
    <w:rsid w:val="00FF077F"/>
    <w:rsid w:val="00FF0BD8"/>
    <w:rsid w:val="00FF0FD2"/>
    <w:rsid w:val="00FF1276"/>
    <w:rsid w:val="00FF201C"/>
    <w:rsid w:val="00FF27F0"/>
    <w:rsid w:val="00FF285E"/>
    <w:rsid w:val="00FF36D0"/>
    <w:rsid w:val="00FF3E5B"/>
    <w:rsid w:val="00FF4152"/>
    <w:rsid w:val="00FF4B39"/>
    <w:rsid w:val="00FF53E0"/>
    <w:rsid w:val="00FF5FDA"/>
    <w:rsid w:val="00FF6511"/>
    <w:rsid w:val="00FF6A74"/>
    <w:rsid w:val="00FF704F"/>
    <w:rsid w:val="00FF72A0"/>
    <w:rsid w:val="00FF75FF"/>
    <w:rsid w:val="00FF784C"/>
    <w:rsid w:val="00FF79D7"/>
    <w:rsid w:val="00FF7ACE"/>
    <w:rsid w:val="00FF7D27"/>
    <w:rsid w:val="010316C7"/>
    <w:rsid w:val="010649B5"/>
    <w:rsid w:val="01395328"/>
    <w:rsid w:val="015E067B"/>
    <w:rsid w:val="01621106"/>
    <w:rsid w:val="016C717A"/>
    <w:rsid w:val="016C71F3"/>
    <w:rsid w:val="016D6A79"/>
    <w:rsid w:val="01751F10"/>
    <w:rsid w:val="0189490D"/>
    <w:rsid w:val="018E53BB"/>
    <w:rsid w:val="01AD071C"/>
    <w:rsid w:val="01AF1625"/>
    <w:rsid w:val="01C60879"/>
    <w:rsid w:val="01C83AA9"/>
    <w:rsid w:val="01D147FF"/>
    <w:rsid w:val="01D5336F"/>
    <w:rsid w:val="01E10408"/>
    <w:rsid w:val="01EE7B06"/>
    <w:rsid w:val="021134BC"/>
    <w:rsid w:val="02154E93"/>
    <w:rsid w:val="02236BCA"/>
    <w:rsid w:val="022F7F52"/>
    <w:rsid w:val="02336B98"/>
    <w:rsid w:val="02385252"/>
    <w:rsid w:val="023A4EE8"/>
    <w:rsid w:val="0241112F"/>
    <w:rsid w:val="02474115"/>
    <w:rsid w:val="024A4C59"/>
    <w:rsid w:val="02732A09"/>
    <w:rsid w:val="02743C41"/>
    <w:rsid w:val="027D52BA"/>
    <w:rsid w:val="02931880"/>
    <w:rsid w:val="029726D2"/>
    <w:rsid w:val="029B2199"/>
    <w:rsid w:val="02B549BA"/>
    <w:rsid w:val="02CB619B"/>
    <w:rsid w:val="02D957AA"/>
    <w:rsid w:val="02EF5762"/>
    <w:rsid w:val="02F2685B"/>
    <w:rsid w:val="030252A2"/>
    <w:rsid w:val="032C5FDE"/>
    <w:rsid w:val="032C634E"/>
    <w:rsid w:val="033772A8"/>
    <w:rsid w:val="03420B52"/>
    <w:rsid w:val="034B43D7"/>
    <w:rsid w:val="034E65A6"/>
    <w:rsid w:val="03653EFA"/>
    <w:rsid w:val="036A5843"/>
    <w:rsid w:val="03771A2E"/>
    <w:rsid w:val="037E2237"/>
    <w:rsid w:val="03844476"/>
    <w:rsid w:val="038527FC"/>
    <w:rsid w:val="03917D34"/>
    <w:rsid w:val="03A5079A"/>
    <w:rsid w:val="03B06F69"/>
    <w:rsid w:val="03B82D9C"/>
    <w:rsid w:val="03E44007"/>
    <w:rsid w:val="03EA585B"/>
    <w:rsid w:val="03F12FC4"/>
    <w:rsid w:val="03F90EEE"/>
    <w:rsid w:val="04045903"/>
    <w:rsid w:val="04164FB3"/>
    <w:rsid w:val="04167088"/>
    <w:rsid w:val="04207E21"/>
    <w:rsid w:val="042B1AB7"/>
    <w:rsid w:val="04371904"/>
    <w:rsid w:val="043A5B24"/>
    <w:rsid w:val="043A7135"/>
    <w:rsid w:val="043B3AD0"/>
    <w:rsid w:val="043D54AD"/>
    <w:rsid w:val="044F0DDF"/>
    <w:rsid w:val="04591159"/>
    <w:rsid w:val="04593ED7"/>
    <w:rsid w:val="04674118"/>
    <w:rsid w:val="046E0797"/>
    <w:rsid w:val="04777B1A"/>
    <w:rsid w:val="047D54E8"/>
    <w:rsid w:val="048016F3"/>
    <w:rsid w:val="04923E88"/>
    <w:rsid w:val="04A158D4"/>
    <w:rsid w:val="04B458A6"/>
    <w:rsid w:val="04B50820"/>
    <w:rsid w:val="04B71FDC"/>
    <w:rsid w:val="04BD08E0"/>
    <w:rsid w:val="04C32FE5"/>
    <w:rsid w:val="04C86695"/>
    <w:rsid w:val="04CC5318"/>
    <w:rsid w:val="04D34865"/>
    <w:rsid w:val="04DF0A6C"/>
    <w:rsid w:val="04E03A94"/>
    <w:rsid w:val="04E866C7"/>
    <w:rsid w:val="04F43804"/>
    <w:rsid w:val="050269EC"/>
    <w:rsid w:val="05124F80"/>
    <w:rsid w:val="05165EB5"/>
    <w:rsid w:val="05283431"/>
    <w:rsid w:val="052E5871"/>
    <w:rsid w:val="0530678A"/>
    <w:rsid w:val="05363A4B"/>
    <w:rsid w:val="0538078D"/>
    <w:rsid w:val="05394563"/>
    <w:rsid w:val="05443A7E"/>
    <w:rsid w:val="0547636F"/>
    <w:rsid w:val="05493039"/>
    <w:rsid w:val="054C68E5"/>
    <w:rsid w:val="05544226"/>
    <w:rsid w:val="05561F43"/>
    <w:rsid w:val="055B1363"/>
    <w:rsid w:val="05613A08"/>
    <w:rsid w:val="05634BDC"/>
    <w:rsid w:val="058B6F7C"/>
    <w:rsid w:val="0590137A"/>
    <w:rsid w:val="059526A5"/>
    <w:rsid w:val="059C49CE"/>
    <w:rsid w:val="05A306A2"/>
    <w:rsid w:val="05BE69CF"/>
    <w:rsid w:val="05CD131D"/>
    <w:rsid w:val="05F74D6B"/>
    <w:rsid w:val="060B222F"/>
    <w:rsid w:val="060C045C"/>
    <w:rsid w:val="0619368B"/>
    <w:rsid w:val="06235C6C"/>
    <w:rsid w:val="062719A0"/>
    <w:rsid w:val="063876A4"/>
    <w:rsid w:val="063B41E7"/>
    <w:rsid w:val="0640373B"/>
    <w:rsid w:val="06444B79"/>
    <w:rsid w:val="06455AA6"/>
    <w:rsid w:val="0656571E"/>
    <w:rsid w:val="06692EC2"/>
    <w:rsid w:val="067526A6"/>
    <w:rsid w:val="067536D1"/>
    <w:rsid w:val="068C1E82"/>
    <w:rsid w:val="068E1959"/>
    <w:rsid w:val="069231E9"/>
    <w:rsid w:val="06BD667B"/>
    <w:rsid w:val="06C46DED"/>
    <w:rsid w:val="06C97850"/>
    <w:rsid w:val="06D24886"/>
    <w:rsid w:val="06D45701"/>
    <w:rsid w:val="06D921BA"/>
    <w:rsid w:val="06F25FB9"/>
    <w:rsid w:val="06FA2876"/>
    <w:rsid w:val="06FC36FB"/>
    <w:rsid w:val="06FD08ED"/>
    <w:rsid w:val="07062F42"/>
    <w:rsid w:val="07115F77"/>
    <w:rsid w:val="071F3FF8"/>
    <w:rsid w:val="072A7934"/>
    <w:rsid w:val="073477C4"/>
    <w:rsid w:val="07443208"/>
    <w:rsid w:val="074B11BB"/>
    <w:rsid w:val="076718B7"/>
    <w:rsid w:val="077027BF"/>
    <w:rsid w:val="0774377B"/>
    <w:rsid w:val="07750071"/>
    <w:rsid w:val="078E41C3"/>
    <w:rsid w:val="0796473D"/>
    <w:rsid w:val="079D5349"/>
    <w:rsid w:val="07A03D20"/>
    <w:rsid w:val="07A56FBB"/>
    <w:rsid w:val="07C31FE9"/>
    <w:rsid w:val="07D2789E"/>
    <w:rsid w:val="07FA3D13"/>
    <w:rsid w:val="08191B97"/>
    <w:rsid w:val="083221D6"/>
    <w:rsid w:val="08346591"/>
    <w:rsid w:val="08465B04"/>
    <w:rsid w:val="08480002"/>
    <w:rsid w:val="085B3DB3"/>
    <w:rsid w:val="085F5BAC"/>
    <w:rsid w:val="086332A4"/>
    <w:rsid w:val="0869241D"/>
    <w:rsid w:val="08793FA4"/>
    <w:rsid w:val="088F03E4"/>
    <w:rsid w:val="08A72707"/>
    <w:rsid w:val="08B21ACB"/>
    <w:rsid w:val="08BF7B61"/>
    <w:rsid w:val="08C75A28"/>
    <w:rsid w:val="08D406EF"/>
    <w:rsid w:val="08D473D7"/>
    <w:rsid w:val="08D70456"/>
    <w:rsid w:val="08E104F7"/>
    <w:rsid w:val="08F5712B"/>
    <w:rsid w:val="08F8070A"/>
    <w:rsid w:val="08F9393D"/>
    <w:rsid w:val="090B1C12"/>
    <w:rsid w:val="09160BD7"/>
    <w:rsid w:val="092F5A95"/>
    <w:rsid w:val="093F529B"/>
    <w:rsid w:val="09471442"/>
    <w:rsid w:val="09671A02"/>
    <w:rsid w:val="09756AB1"/>
    <w:rsid w:val="098F1CD1"/>
    <w:rsid w:val="09A63865"/>
    <w:rsid w:val="09A909AA"/>
    <w:rsid w:val="09AE4AD6"/>
    <w:rsid w:val="09C063F6"/>
    <w:rsid w:val="09C13E54"/>
    <w:rsid w:val="09C40AA7"/>
    <w:rsid w:val="09CA30A6"/>
    <w:rsid w:val="09CA5F57"/>
    <w:rsid w:val="09D10267"/>
    <w:rsid w:val="09D26061"/>
    <w:rsid w:val="09D364F6"/>
    <w:rsid w:val="09E24ABF"/>
    <w:rsid w:val="09EC1EB1"/>
    <w:rsid w:val="09ED2E9B"/>
    <w:rsid w:val="09FB7B36"/>
    <w:rsid w:val="0A062677"/>
    <w:rsid w:val="0A2543E3"/>
    <w:rsid w:val="0A2B21F6"/>
    <w:rsid w:val="0A2B7EBB"/>
    <w:rsid w:val="0A33672C"/>
    <w:rsid w:val="0A385D8C"/>
    <w:rsid w:val="0A4473EE"/>
    <w:rsid w:val="0A5575E1"/>
    <w:rsid w:val="0A5614A9"/>
    <w:rsid w:val="0A610BA2"/>
    <w:rsid w:val="0A654C3E"/>
    <w:rsid w:val="0A6659E5"/>
    <w:rsid w:val="0A7D05F8"/>
    <w:rsid w:val="0A84742A"/>
    <w:rsid w:val="0A885757"/>
    <w:rsid w:val="0AA11105"/>
    <w:rsid w:val="0AAA0B94"/>
    <w:rsid w:val="0ABF664A"/>
    <w:rsid w:val="0AD100C7"/>
    <w:rsid w:val="0AD51FE0"/>
    <w:rsid w:val="0AEE29CA"/>
    <w:rsid w:val="0AEF6FBE"/>
    <w:rsid w:val="0AF61A10"/>
    <w:rsid w:val="0AF72BA2"/>
    <w:rsid w:val="0AFF4F9B"/>
    <w:rsid w:val="0B063336"/>
    <w:rsid w:val="0B1323BC"/>
    <w:rsid w:val="0B1B18FE"/>
    <w:rsid w:val="0B1D0CA5"/>
    <w:rsid w:val="0B2163DE"/>
    <w:rsid w:val="0B2C012F"/>
    <w:rsid w:val="0B2E6BE3"/>
    <w:rsid w:val="0B2F4F7F"/>
    <w:rsid w:val="0B3F3B67"/>
    <w:rsid w:val="0B4821E3"/>
    <w:rsid w:val="0B6D4294"/>
    <w:rsid w:val="0B7902BE"/>
    <w:rsid w:val="0B85177A"/>
    <w:rsid w:val="0B8E5FB8"/>
    <w:rsid w:val="0B8E6673"/>
    <w:rsid w:val="0B92140A"/>
    <w:rsid w:val="0B9342F2"/>
    <w:rsid w:val="0B9B379E"/>
    <w:rsid w:val="0BA94A37"/>
    <w:rsid w:val="0BBD2434"/>
    <w:rsid w:val="0BBF42A4"/>
    <w:rsid w:val="0BCF56D9"/>
    <w:rsid w:val="0BD508DF"/>
    <w:rsid w:val="0BD9091E"/>
    <w:rsid w:val="0BE22442"/>
    <w:rsid w:val="0BE66D2B"/>
    <w:rsid w:val="0BEB4421"/>
    <w:rsid w:val="0BF45F23"/>
    <w:rsid w:val="0BF61709"/>
    <w:rsid w:val="0BF84145"/>
    <w:rsid w:val="0BFA3959"/>
    <w:rsid w:val="0C032502"/>
    <w:rsid w:val="0C036CF0"/>
    <w:rsid w:val="0C341D7D"/>
    <w:rsid w:val="0C3F6CED"/>
    <w:rsid w:val="0C51541B"/>
    <w:rsid w:val="0C5663E5"/>
    <w:rsid w:val="0C5963A3"/>
    <w:rsid w:val="0C5F2300"/>
    <w:rsid w:val="0C647A3B"/>
    <w:rsid w:val="0C932E72"/>
    <w:rsid w:val="0C963376"/>
    <w:rsid w:val="0C9F61FA"/>
    <w:rsid w:val="0CAB668A"/>
    <w:rsid w:val="0CB107F4"/>
    <w:rsid w:val="0CC21AB0"/>
    <w:rsid w:val="0CD65E68"/>
    <w:rsid w:val="0CDB5A96"/>
    <w:rsid w:val="0CDC3E2A"/>
    <w:rsid w:val="0CF00711"/>
    <w:rsid w:val="0CF1133F"/>
    <w:rsid w:val="0CF331C9"/>
    <w:rsid w:val="0D09014A"/>
    <w:rsid w:val="0D0D2A21"/>
    <w:rsid w:val="0D0D5BDE"/>
    <w:rsid w:val="0D1644B7"/>
    <w:rsid w:val="0D366F69"/>
    <w:rsid w:val="0D462A26"/>
    <w:rsid w:val="0D4C6D15"/>
    <w:rsid w:val="0D4D6853"/>
    <w:rsid w:val="0D5C3E21"/>
    <w:rsid w:val="0D6764FD"/>
    <w:rsid w:val="0D6E6DC9"/>
    <w:rsid w:val="0D7336B7"/>
    <w:rsid w:val="0D7C256C"/>
    <w:rsid w:val="0D7D2AB1"/>
    <w:rsid w:val="0D7F332F"/>
    <w:rsid w:val="0D9553DC"/>
    <w:rsid w:val="0D9708D2"/>
    <w:rsid w:val="0D9B5547"/>
    <w:rsid w:val="0DBB7B04"/>
    <w:rsid w:val="0DBF1554"/>
    <w:rsid w:val="0DCB02D1"/>
    <w:rsid w:val="0DD53C35"/>
    <w:rsid w:val="0DD7407B"/>
    <w:rsid w:val="0DF12629"/>
    <w:rsid w:val="0E0D1416"/>
    <w:rsid w:val="0E124C7E"/>
    <w:rsid w:val="0E15763C"/>
    <w:rsid w:val="0E1F49F5"/>
    <w:rsid w:val="0E287A4A"/>
    <w:rsid w:val="0E372937"/>
    <w:rsid w:val="0E476AA3"/>
    <w:rsid w:val="0E4E1FC6"/>
    <w:rsid w:val="0E56576F"/>
    <w:rsid w:val="0E692990"/>
    <w:rsid w:val="0E736CF8"/>
    <w:rsid w:val="0E796AAB"/>
    <w:rsid w:val="0E7E7FC6"/>
    <w:rsid w:val="0E82091F"/>
    <w:rsid w:val="0E855228"/>
    <w:rsid w:val="0E8D7BBC"/>
    <w:rsid w:val="0E9D7898"/>
    <w:rsid w:val="0EA0348E"/>
    <w:rsid w:val="0EAD128E"/>
    <w:rsid w:val="0EB43F87"/>
    <w:rsid w:val="0EB8205E"/>
    <w:rsid w:val="0EBB692E"/>
    <w:rsid w:val="0ECC5BB2"/>
    <w:rsid w:val="0EE04661"/>
    <w:rsid w:val="0EE20AF5"/>
    <w:rsid w:val="0EE603E4"/>
    <w:rsid w:val="0EF01280"/>
    <w:rsid w:val="0EF3685E"/>
    <w:rsid w:val="0EFE599D"/>
    <w:rsid w:val="0F05273E"/>
    <w:rsid w:val="0F20161D"/>
    <w:rsid w:val="0F202384"/>
    <w:rsid w:val="0F224F1A"/>
    <w:rsid w:val="0F5F3EF3"/>
    <w:rsid w:val="0F644B60"/>
    <w:rsid w:val="0F6C16CA"/>
    <w:rsid w:val="0F704352"/>
    <w:rsid w:val="0F713150"/>
    <w:rsid w:val="0F7A0142"/>
    <w:rsid w:val="0F922BA2"/>
    <w:rsid w:val="0FA96A9F"/>
    <w:rsid w:val="0FC97864"/>
    <w:rsid w:val="0FCA08FA"/>
    <w:rsid w:val="0FCA3E52"/>
    <w:rsid w:val="0FCE6679"/>
    <w:rsid w:val="0FD81F30"/>
    <w:rsid w:val="0FDA2A9F"/>
    <w:rsid w:val="0FDF7C19"/>
    <w:rsid w:val="0FE8213B"/>
    <w:rsid w:val="0FEA54EA"/>
    <w:rsid w:val="0FEE5E2C"/>
    <w:rsid w:val="0FF1567D"/>
    <w:rsid w:val="0FF160C7"/>
    <w:rsid w:val="0FF47D30"/>
    <w:rsid w:val="100066AA"/>
    <w:rsid w:val="1001144E"/>
    <w:rsid w:val="10082911"/>
    <w:rsid w:val="100E76C7"/>
    <w:rsid w:val="10125409"/>
    <w:rsid w:val="1028207A"/>
    <w:rsid w:val="102B2027"/>
    <w:rsid w:val="103F1F4D"/>
    <w:rsid w:val="106D5447"/>
    <w:rsid w:val="107026EC"/>
    <w:rsid w:val="107925C1"/>
    <w:rsid w:val="10825116"/>
    <w:rsid w:val="10872410"/>
    <w:rsid w:val="108E57BE"/>
    <w:rsid w:val="10C30090"/>
    <w:rsid w:val="10D02FB2"/>
    <w:rsid w:val="10D25856"/>
    <w:rsid w:val="10DC05C5"/>
    <w:rsid w:val="10E548CC"/>
    <w:rsid w:val="10E61065"/>
    <w:rsid w:val="10E76BB8"/>
    <w:rsid w:val="10EF4A3E"/>
    <w:rsid w:val="10FA55B2"/>
    <w:rsid w:val="110C0A7A"/>
    <w:rsid w:val="110D79DD"/>
    <w:rsid w:val="110F1949"/>
    <w:rsid w:val="11184513"/>
    <w:rsid w:val="112E7928"/>
    <w:rsid w:val="112F04F1"/>
    <w:rsid w:val="11423D0A"/>
    <w:rsid w:val="114F7F97"/>
    <w:rsid w:val="11511F61"/>
    <w:rsid w:val="116F19CF"/>
    <w:rsid w:val="116F4D81"/>
    <w:rsid w:val="118031D6"/>
    <w:rsid w:val="11820567"/>
    <w:rsid w:val="11832AAA"/>
    <w:rsid w:val="11847C41"/>
    <w:rsid w:val="118B7221"/>
    <w:rsid w:val="11AE7D96"/>
    <w:rsid w:val="11BA0A91"/>
    <w:rsid w:val="11C5731A"/>
    <w:rsid w:val="11C90650"/>
    <w:rsid w:val="11CB7517"/>
    <w:rsid w:val="11DA23A3"/>
    <w:rsid w:val="11DD54CA"/>
    <w:rsid w:val="11E34574"/>
    <w:rsid w:val="11EC3362"/>
    <w:rsid w:val="11FC1ECD"/>
    <w:rsid w:val="120C02DC"/>
    <w:rsid w:val="120E0F4A"/>
    <w:rsid w:val="12211934"/>
    <w:rsid w:val="12216642"/>
    <w:rsid w:val="122C2DE8"/>
    <w:rsid w:val="1236241E"/>
    <w:rsid w:val="123D5A21"/>
    <w:rsid w:val="12403BC6"/>
    <w:rsid w:val="12716CEF"/>
    <w:rsid w:val="1275228A"/>
    <w:rsid w:val="127A3A1B"/>
    <w:rsid w:val="127D3A9F"/>
    <w:rsid w:val="1288102E"/>
    <w:rsid w:val="128A06A1"/>
    <w:rsid w:val="128A6A31"/>
    <w:rsid w:val="129003E8"/>
    <w:rsid w:val="12943A37"/>
    <w:rsid w:val="12995F82"/>
    <w:rsid w:val="12A3059B"/>
    <w:rsid w:val="12AF41F6"/>
    <w:rsid w:val="12BB7E59"/>
    <w:rsid w:val="12C32BE5"/>
    <w:rsid w:val="12D07CF0"/>
    <w:rsid w:val="12E76D6E"/>
    <w:rsid w:val="12EC2C8D"/>
    <w:rsid w:val="12ED7A68"/>
    <w:rsid w:val="12F47048"/>
    <w:rsid w:val="12FB05C0"/>
    <w:rsid w:val="13074A2B"/>
    <w:rsid w:val="130D562A"/>
    <w:rsid w:val="133B2CAF"/>
    <w:rsid w:val="1351048B"/>
    <w:rsid w:val="136E0BA9"/>
    <w:rsid w:val="136E4EF1"/>
    <w:rsid w:val="136F63BE"/>
    <w:rsid w:val="139D148E"/>
    <w:rsid w:val="13A043AC"/>
    <w:rsid w:val="13CB2900"/>
    <w:rsid w:val="13CD6823"/>
    <w:rsid w:val="13E35C25"/>
    <w:rsid w:val="13EF01F1"/>
    <w:rsid w:val="13F92515"/>
    <w:rsid w:val="13FA30F4"/>
    <w:rsid w:val="140C4FE7"/>
    <w:rsid w:val="141121D8"/>
    <w:rsid w:val="141D276F"/>
    <w:rsid w:val="14223741"/>
    <w:rsid w:val="142420D7"/>
    <w:rsid w:val="1424395D"/>
    <w:rsid w:val="142E580E"/>
    <w:rsid w:val="1437543F"/>
    <w:rsid w:val="14400CA4"/>
    <w:rsid w:val="144305D6"/>
    <w:rsid w:val="144954C7"/>
    <w:rsid w:val="144A5D9E"/>
    <w:rsid w:val="14542F39"/>
    <w:rsid w:val="145F2090"/>
    <w:rsid w:val="146B2EDA"/>
    <w:rsid w:val="146F26D9"/>
    <w:rsid w:val="14701D0C"/>
    <w:rsid w:val="147618F6"/>
    <w:rsid w:val="14782641"/>
    <w:rsid w:val="14892201"/>
    <w:rsid w:val="149B1606"/>
    <w:rsid w:val="149D56C6"/>
    <w:rsid w:val="149D682A"/>
    <w:rsid w:val="14A82039"/>
    <w:rsid w:val="14B26B47"/>
    <w:rsid w:val="14BA4461"/>
    <w:rsid w:val="14C505A6"/>
    <w:rsid w:val="14D0665A"/>
    <w:rsid w:val="14D6534B"/>
    <w:rsid w:val="14D77946"/>
    <w:rsid w:val="14E2403F"/>
    <w:rsid w:val="14E530ED"/>
    <w:rsid w:val="14F40E1E"/>
    <w:rsid w:val="151F4F3C"/>
    <w:rsid w:val="15260086"/>
    <w:rsid w:val="1548189E"/>
    <w:rsid w:val="15511C3C"/>
    <w:rsid w:val="155E6F5C"/>
    <w:rsid w:val="15645DF0"/>
    <w:rsid w:val="15872E18"/>
    <w:rsid w:val="15897D25"/>
    <w:rsid w:val="158F4B86"/>
    <w:rsid w:val="15924D0F"/>
    <w:rsid w:val="15A31890"/>
    <w:rsid w:val="15A47D5A"/>
    <w:rsid w:val="15CD60FB"/>
    <w:rsid w:val="15D66018"/>
    <w:rsid w:val="15E45152"/>
    <w:rsid w:val="15FC1CBB"/>
    <w:rsid w:val="15FE195A"/>
    <w:rsid w:val="1610052F"/>
    <w:rsid w:val="164146DB"/>
    <w:rsid w:val="164D2D8F"/>
    <w:rsid w:val="16573B76"/>
    <w:rsid w:val="16576DCE"/>
    <w:rsid w:val="166945DC"/>
    <w:rsid w:val="16827888"/>
    <w:rsid w:val="1697748C"/>
    <w:rsid w:val="16D23160"/>
    <w:rsid w:val="16D613CF"/>
    <w:rsid w:val="16D92514"/>
    <w:rsid w:val="16E006AB"/>
    <w:rsid w:val="16E4180E"/>
    <w:rsid w:val="16F5513D"/>
    <w:rsid w:val="17027685"/>
    <w:rsid w:val="170C6C9B"/>
    <w:rsid w:val="171A2F59"/>
    <w:rsid w:val="171F3DC2"/>
    <w:rsid w:val="1722335B"/>
    <w:rsid w:val="172531CC"/>
    <w:rsid w:val="173E1D4B"/>
    <w:rsid w:val="174B2B12"/>
    <w:rsid w:val="176A6DB3"/>
    <w:rsid w:val="177442E8"/>
    <w:rsid w:val="177B02D4"/>
    <w:rsid w:val="1787681D"/>
    <w:rsid w:val="178775DC"/>
    <w:rsid w:val="178F0BD8"/>
    <w:rsid w:val="17963DD6"/>
    <w:rsid w:val="179F6CB4"/>
    <w:rsid w:val="17A0779F"/>
    <w:rsid w:val="17A16D05"/>
    <w:rsid w:val="17A550E7"/>
    <w:rsid w:val="17B17FE8"/>
    <w:rsid w:val="17B41BF9"/>
    <w:rsid w:val="17C5772E"/>
    <w:rsid w:val="17CA16AD"/>
    <w:rsid w:val="17D905BB"/>
    <w:rsid w:val="17DE607C"/>
    <w:rsid w:val="17E4768B"/>
    <w:rsid w:val="17F93811"/>
    <w:rsid w:val="17FB421F"/>
    <w:rsid w:val="17FC3270"/>
    <w:rsid w:val="18033730"/>
    <w:rsid w:val="180C4496"/>
    <w:rsid w:val="18273A1C"/>
    <w:rsid w:val="182D3889"/>
    <w:rsid w:val="18431EC2"/>
    <w:rsid w:val="18491F1B"/>
    <w:rsid w:val="184B19C1"/>
    <w:rsid w:val="185D11EC"/>
    <w:rsid w:val="18727C54"/>
    <w:rsid w:val="187664B9"/>
    <w:rsid w:val="187F1E28"/>
    <w:rsid w:val="188D4F7A"/>
    <w:rsid w:val="18944142"/>
    <w:rsid w:val="189D7F25"/>
    <w:rsid w:val="18AC4409"/>
    <w:rsid w:val="18AD2173"/>
    <w:rsid w:val="18AF6A47"/>
    <w:rsid w:val="18B35C28"/>
    <w:rsid w:val="18B60EF7"/>
    <w:rsid w:val="18CE6CBA"/>
    <w:rsid w:val="18D019EF"/>
    <w:rsid w:val="18D01C35"/>
    <w:rsid w:val="18D11BD8"/>
    <w:rsid w:val="18DF1BFA"/>
    <w:rsid w:val="18EF50D1"/>
    <w:rsid w:val="18FA2EDF"/>
    <w:rsid w:val="18FE29CF"/>
    <w:rsid w:val="1901601B"/>
    <w:rsid w:val="190800BC"/>
    <w:rsid w:val="193D2111"/>
    <w:rsid w:val="1940130A"/>
    <w:rsid w:val="19437E9C"/>
    <w:rsid w:val="194F7950"/>
    <w:rsid w:val="19534011"/>
    <w:rsid w:val="195B2925"/>
    <w:rsid w:val="19672982"/>
    <w:rsid w:val="19763E88"/>
    <w:rsid w:val="197C3760"/>
    <w:rsid w:val="197E4753"/>
    <w:rsid w:val="198B77EE"/>
    <w:rsid w:val="198E3C22"/>
    <w:rsid w:val="199843E6"/>
    <w:rsid w:val="19BD74FF"/>
    <w:rsid w:val="19C56912"/>
    <w:rsid w:val="19C630ED"/>
    <w:rsid w:val="19C76DC1"/>
    <w:rsid w:val="19D13C05"/>
    <w:rsid w:val="19DB18FE"/>
    <w:rsid w:val="1A0C7E6F"/>
    <w:rsid w:val="1A1025EE"/>
    <w:rsid w:val="1A10368D"/>
    <w:rsid w:val="1A11287F"/>
    <w:rsid w:val="1A125C5A"/>
    <w:rsid w:val="1A2533B1"/>
    <w:rsid w:val="1A2B6426"/>
    <w:rsid w:val="1A30409A"/>
    <w:rsid w:val="1A554870"/>
    <w:rsid w:val="1A565D8A"/>
    <w:rsid w:val="1A587BF3"/>
    <w:rsid w:val="1A5E7972"/>
    <w:rsid w:val="1A637950"/>
    <w:rsid w:val="1A86037C"/>
    <w:rsid w:val="1A947D49"/>
    <w:rsid w:val="1A9770A6"/>
    <w:rsid w:val="1A977635"/>
    <w:rsid w:val="1ABA053C"/>
    <w:rsid w:val="1AC6550E"/>
    <w:rsid w:val="1ACD79A6"/>
    <w:rsid w:val="1AEA65EA"/>
    <w:rsid w:val="1AED4B38"/>
    <w:rsid w:val="1AF70673"/>
    <w:rsid w:val="1AFA4135"/>
    <w:rsid w:val="1AFB769E"/>
    <w:rsid w:val="1AFF2A2E"/>
    <w:rsid w:val="1B000CC7"/>
    <w:rsid w:val="1B034018"/>
    <w:rsid w:val="1B04694D"/>
    <w:rsid w:val="1B0B73CB"/>
    <w:rsid w:val="1B0D514B"/>
    <w:rsid w:val="1B131630"/>
    <w:rsid w:val="1B1E13A4"/>
    <w:rsid w:val="1B1E4925"/>
    <w:rsid w:val="1B3355B0"/>
    <w:rsid w:val="1B46240B"/>
    <w:rsid w:val="1B4B2D3A"/>
    <w:rsid w:val="1B500B98"/>
    <w:rsid w:val="1B525F0F"/>
    <w:rsid w:val="1B570741"/>
    <w:rsid w:val="1B73014B"/>
    <w:rsid w:val="1B9E1B1B"/>
    <w:rsid w:val="1BA333BA"/>
    <w:rsid w:val="1BBA6B07"/>
    <w:rsid w:val="1BCA303C"/>
    <w:rsid w:val="1BE35EAC"/>
    <w:rsid w:val="1BED75CB"/>
    <w:rsid w:val="1BF877D1"/>
    <w:rsid w:val="1C08413D"/>
    <w:rsid w:val="1C0C60C6"/>
    <w:rsid w:val="1C224837"/>
    <w:rsid w:val="1C327D15"/>
    <w:rsid w:val="1C4050AC"/>
    <w:rsid w:val="1C493F61"/>
    <w:rsid w:val="1C7048AD"/>
    <w:rsid w:val="1C9417E4"/>
    <w:rsid w:val="1CAC2742"/>
    <w:rsid w:val="1CB06FF1"/>
    <w:rsid w:val="1CBA043B"/>
    <w:rsid w:val="1CBB2A7A"/>
    <w:rsid w:val="1CD728C0"/>
    <w:rsid w:val="1CE9483E"/>
    <w:rsid w:val="1CED7C07"/>
    <w:rsid w:val="1CF1470B"/>
    <w:rsid w:val="1CF37F1E"/>
    <w:rsid w:val="1D153962"/>
    <w:rsid w:val="1D323D6B"/>
    <w:rsid w:val="1D412E8A"/>
    <w:rsid w:val="1D424834"/>
    <w:rsid w:val="1D4330A6"/>
    <w:rsid w:val="1D4B34D5"/>
    <w:rsid w:val="1D551A79"/>
    <w:rsid w:val="1D5559B4"/>
    <w:rsid w:val="1D5E1C8E"/>
    <w:rsid w:val="1D7B7A36"/>
    <w:rsid w:val="1D876DBF"/>
    <w:rsid w:val="1D8A0DA2"/>
    <w:rsid w:val="1DA2552F"/>
    <w:rsid w:val="1DA64F4A"/>
    <w:rsid w:val="1DA8115B"/>
    <w:rsid w:val="1DB13337"/>
    <w:rsid w:val="1DBC45FE"/>
    <w:rsid w:val="1DBD2B2D"/>
    <w:rsid w:val="1DCD6D38"/>
    <w:rsid w:val="1DDD7F78"/>
    <w:rsid w:val="1DEB1048"/>
    <w:rsid w:val="1DEC0166"/>
    <w:rsid w:val="1E073018"/>
    <w:rsid w:val="1E074126"/>
    <w:rsid w:val="1E0850F8"/>
    <w:rsid w:val="1E1B216A"/>
    <w:rsid w:val="1E281F52"/>
    <w:rsid w:val="1E29229C"/>
    <w:rsid w:val="1E2C1BB2"/>
    <w:rsid w:val="1E2C6E3D"/>
    <w:rsid w:val="1E387DCD"/>
    <w:rsid w:val="1E3D227B"/>
    <w:rsid w:val="1E4C600F"/>
    <w:rsid w:val="1E5866DD"/>
    <w:rsid w:val="1E6820EC"/>
    <w:rsid w:val="1E700DEF"/>
    <w:rsid w:val="1E7439E1"/>
    <w:rsid w:val="1E7E1EBC"/>
    <w:rsid w:val="1E7F053E"/>
    <w:rsid w:val="1E7F53D6"/>
    <w:rsid w:val="1E815BCB"/>
    <w:rsid w:val="1E85324A"/>
    <w:rsid w:val="1E854FF8"/>
    <w:rsid w:val="1E9D5752"/>
    <w:rsid w:val="1EC17A5A"/>
    <w:rsid w:val="1EC32895"/>
    <w:rsid w:val="1EC37E7C"/>
    <w:rsid w:val="1EC80A70"/>
    <w:rsid w:val="1ED7007F"/>
    <w:rsid w:val="1EE07D70"/>
    <w:rsid w:val="1EE26D5B"/>
    <w:rsid w:val="1EE87004"/>
    <w:rsid w:val="1EFD1F8F"/>
    <w:rsid w:val="1EFE7D85"/>
    <w:rsid w:val="1F065626"/>
    <w:rsid w:val="1F0E3240"/>
    <w:rsid w:val="1F17104E"/>
    <w:rsid w:val="1F175D86"/>
    <w:rsid w:val="1F4426B2"/>
    <w:rsid w:val="1F460D14"/>
    <w:rsid w:val="1F51459D"/>
    <w:rsid w:val="1F5D6BC3"/>
    <w:rsid w:val="1F5E221F"/>
    <w:rsid w:val="1F6932BB"/>
    <w:rsid w:val="1F6B1FA3"/>
    <w:rsid w:val="1F6E66C6"/>
    <w:rsid w:val="1F6F7A22"/>
    <w:rsid w:val="1F723AC6"/>
    <w:rsid w:val="1F752ADA"/>
    <w:rsid w:val="1F775289"/>
    <w:rsid w:val="1F890B18"/>
    <w:rsid w:val="1F891EB0"/>
    <w:rsid w:val="1F9A36B9"/>
    <w:rsid w:val="1F9B15D5"/>
    <w:rsid w:val="1FA10F3D"/>
    <w:rsid w:val="1FB276F5"/>
    <w:rsid w:val="1FBC4A4A"/>
    <w:rsid w:val="1FBE07C2"/>
    <w:rsid w:val="1FC0118F"/>
    <w:rsid w:val="1FC90831"/>
    <w:rsid w:val="1FD648F6"/>
    <w:rsid w:val="1FD75D28"/>
    <w:rsid w:val="1FF841F4"/>
    <w:rsid w:val="200010AF"/>
    <w:rsid w:val="20014C4D"/>
    <w:rsid w:val="20052AA1"/>
    <w:rsid w:val="200C3C23"/>
    <w:rsid w:val="20132890"/>
    <w:rsid w:val="201913B8"/>
    <w:rsid w:val="201B5F3E"/>
    <w:rsid w:val="201D78E7"/>
    <w:rsid w:val="201F0EE9"/>
    <w:rsid w:val="20433EE8"/>
    <w:rsid w:val="204442CE"/>
    <w:rsid w:val="204F58BE"/>
    <w:rsid w:val="20546C98"/>
    <w:rsid w:val="2056329D"/>
    <w:rsid w:val="20611D0E"/>
    <w:rsid w:val="206B6684"/>
    <w:rsid w:val="207209AB"/>
    <w:rsid w:val="20750E36"/>
    <w:rsid w:val="20795B11"/>
    <w:rsid w:val="20886B3D"/>
    <w:rsid w:val="20914128"/>
    <w:rsid w:val="2096747A"/>
    <w:rsid w:val="20AF151F"/>
    <w:rsid w:val="20B10327"/>
    <w:rsid w:val="20B23386"/>
    <w:rsid w:val="20BF1879"/>
    <w:rsid w:val="20C15E4F"/>
    <w:rsid w:val="20C938C2"/>
    <w:rsid w:val="20CA3197"/>
    <w:rsid w:val="20CC1D5B"/>
    <w:rsid w:val="20E16D08"/>
    <w:rsid w:val="20E406FC"/>
    <w:rsid w:val="20E5328F"/>
    <w:rsid w:val="20FF7538"/>
    <w:rsid w:val="210C1A64"/>
    <w:rsid w:val="211310D5"/>
    <w:rsid w:val="212218FD"/>
    <w:rsid w:val="212B26F1"/>
    <w:rsid w:val="21307B7E"/>
    <w:rsid w:val="2133612B"/>
    <w:rsid w:val="213C739C"/>
    <w:rsid w:val="216A7D6E"/>
    <w:rsid w:val="216F62D8"/>
    <w:rsid w:val="2176421D"/>
    <w:rsid w:val="217B4A99"/>
    <w:rsid w:val="217D2C2A"/>
    <w:rsid w:val="218504A3"/>
    <w:rsid w:val="21885A20"/>
    <w:rsid w:val="218A19E2"/>
    <w:rsid w:val="21987372"/>
    <w:rsid w:val="21990295"/>
    <w:rsid w:val="21A83D47"/>
    <w:rsid w:val="21CF60B5"/>
    <w:rsid w:val="21D75F88"/>
    <w:rsid w:val="21D818E3"/>
    <w:rsid w:val="21D964B3"/>
    <w:rsid w:val="21E14CD3"/>
    <w:rsid w:val="21FB7007"/>
    <w:rsid w:val="220E05C3"/>
    <w:rsid w:val="221074FA"/>
    <w:rsid w:val="22282915"/>
    <w:rsid w:val="222F1E4B"/>
    <w:rsid w:val="22335185"/>
    <w:rsid w:val="22385B99"/>
    <w:rsid w:val="223A6BE0"/>
    <w:rsid w:val="2252090B"/>
    <w:rsid w:val="22586DF5"/>
    <w:rsid w:val="226118D9"/>
    <w:rsid w:val="2261210F"/>
    <w:rsid w:val="227F45EC"/>
    <w:rsid w:val="22880355"/>
    <w:rsid w:val="229034CF"/>
    <w:rsid w:val="229638B0"/>
    <w:rsid w:val="229C4155"/>
    <w:rsid w:val="229D4A85"/>
    <w:rsid w:val="22AF3E2C"/>
    <w:rsid w:val="22BA57B4"/>
    <w:rsid w:val="22C81F36"/>
    <w:rsid w:val="22D03220"/>
    <w:rsid w:val="22E018AA"/>
    <w:rsid w:val="22E06CA1"/>
    <w:rsid w:val="22F17100"/>
    <w:rsid w:val="22F63289"/>
    <w:rsid w:val="23134AA1"/>
    <w:rsid w:val="231F63EE"/>
    <w:rsid w:val="232237E3"/>
    <w:rsid w:val="23277592"/>
    <w:rsid w:val="23294AEC"/>
    <w:rsid w:val="23396056"/>
    <w:rsid w:val="233A44B2"/>
    <w:rsid w:val="233C6462"/>
    <w:rsid w:val="23465511"/>
    <w:rsid w:val="23505986"/>
    <w:rsid w:val="23575863"/>
    <w:rsid w:val="235D3F31"/>
    <w:rsid w:val="237812AA"/>
    <w:rsid w:val="237E1073"/>
    <w:rsid w:val="237E345D"/>
    <w:rsid w:val="239B4B64"/>
    <w:rsid w:val="23B75C54"/>
    <w:rsid w:val="23D226FB"/>
    <w:rsid w:val="23D31322"/>
    <w:rsid w:val="23E046E1"/>
    <w:rsid w:val="23E407B9"/>
    <w:rsid w:val="240B1CCE"/>
    <w:rsid w:val="240B6004"/>
    <w:rsid w:val="240C3DB8"/>
    <w:rsid w:val="2411448A"/>
    <w:rsid w:val="241A2687"/>
    <w:rsid w:val="24253175"/>
    <w:rsid w:val="242655FB"/>
    <w:rsid w:val="24290295"/>
    <w:rsid w:val="244E1971"/>
    <w:rsid w:val="245A290F"/>
    <w:rsid w:val="247D50F0"/>
    <w:rsid w:val="24A02B8C"/>
    <w:rsid w:val="24A75260"/>
    <w:rsid w:val="24A9084B"/>
    <w:rsid w:val="24C26FA6"/>
    <w:rsid w:val="24C41137"/>
    <w:rsid w:val="24C83CE6"/>
    <w:rsid w:val="24CF313A"/>
    <w:rsid w:val="24D5402A"/>
    <w:rsid w:val="24D56E47"/>
    <w:rsid w:val="24D65C9A"/>
    <w:rsid w:val="24DA3DD6"/>
    <w:rsid w:val="24DE76A0"/>
    <w:rsid w:val="24EA2059"/>
    <w:rsid w:val="24FD524D"/>
    <w:rsid w:val="25120323"/>
    <w:rsid w:val="25193CCA"/>
    <w:rsid w:val="251B2B2D"/>
    <w:rsid w:val="251B2BF5"/>
    <w:rsid w:val="251D377B"/>
    <w:rsid w:val="252B4490"/>
    <w:rsid w:val="252E1ECB"/>
    <w:rsid w:val="253120D0"/>
    <w:rsid w:val="253343BA"/>
    <w:rsid w:val="25335FA2"/>
    <w:rsid w:val="253C4A71"/>
    <w:rsid w:val="25475CC6"/>
    <w:rsid w:val="255160CE"/>
    <w:rsid w:val="2556094D"/>
    <w:rsid w:val="2556149D"/>
    <w:rsid w:val="255677F5"/>
    <w:rsid w:val="2558794D"/>
    <w:rsid w:val="255B2ED7"/>
    <w:rsid w:val="255B6B8C"/>
    <w:rsid w:val="25602316"/>
    <w:rsid w:val="2568210C"/>
    <w:rsid w:val="256F0278"/>
    <w:rsid w:val="257A2395"/>
    <w:rsid w:val="25825548"/>
    <w:rsid w:val="25867EA1"/>
    <w:rsid w:val="259A70CD"/>
    <w:rsid w:val="25A768D8"/>
    <w:rsid w:val="25A96781"/>
    <w:rsid w:val="25AC5CC1"/>
    <w:rsid w:val="25B90FC9"/>
    <w:rsid w:val="25B96FB2"/>
    <w:rsid w:val="25BC02BA"/>
    <w:rsid w:val="25CD2550"/>
    <w:rsid w:val="25CF591D"/>
    <w:rsid w:val="25DA1807"/>
    <w:rsid w:val="25E01AF8"/>
    <w:rsid w:val="25F224BD"/>
    <w:rsid w:val="26017ABB"/>
    <w:rsid w:val="26034949"/>
    <w:rsid w:val="26191F0D"/>
    <w:rsid w:val="26245592"/>
    <w:rsid w:val="26282E39"/>
    <w:rsid w:val="26301E02"/>
    <w:rsid w:val="265A4FBD"/>
    <w:rsid w:val="265C2775"/>
    <w:rsid w:val="2663107A"/>
    <w:rsid w:val="2674065C"/>
    <w:rsid w:val="26752254"/>
    <w:rsid w:val="26843894"/>
    <w:rsid w:val="26856A29"/>
    <w:rsid w:val="26965BE5"/>
    <w:rsid w:val="26982B2A"/>
    <w:rsid w:val="26B10163"/>
    <w:rsid w:val="26B92668"/>
    <w:rsid w:val="26BD5F02"/>
    <w:rsid w:val="26CF7641"/>
    <w:rsid w:val="26D933F6"/>
    <w:rsid w:val="26E35EBC"/>
    <w:rsid w:val="26E929B0"/>
    <w:rsid w:val="26E95765"/>
    <w:rsid w:val="26F76B3A"/>
    <w:rsid w:val="271D48AB"/>
    <w:rsid w:val="27247391"/>
    <w:rsid w:val="27370721"/>
    <w:rsid w:val="27540F83"/>
    <w:rsid w:val="2765348E"/>
    <w:rsid w:val="276D6C9F"/>
    <w:rsid w:val="277C0388"/>
    <w:rsid w:val="278C77B6"/>
    <w:rsid w:val="278E4FD9"/>
    <w:rsid w:val="27A1763A"/>
    <w:rsid w:val="27A6670B"/>
    <w:rsid w:val="27A70019"/>
    <w:rsid w:val="27AA1813"/>
    <w:rsid w:val="27AA75B2"/>
    <w:rsid w:val="27D61C41"/>
    <w:rsid w:val="27E622B9"/>
    <w:rsid w:val="27E85DB2"/>
    <w:rsid w:val="27F54F9D"/>
    <w:rsid w:val="280132AC"/>
    <w:rsid w:val="28017ADF"/>
    <w:rsid w:val="28070CCB"/>
    <w:rsid w:val="280F6358"/>
    <w:rsid w:val="281A2C55"/>
    <w:rsid w:val="2823687C"/>
    <w:rsid w:val="2827624A"/>
    <w:rsid w:val="282B4E63"/>
    <w:rsid w:val="282E6701"/>
    <w:rsid w:val="283541D0"/>
    <w:rsid w:val="28484B52"/>
    <w:rsid w:val="284D0832"/>
    <w:rsid w:val="28575C58"/>
    <w:rsid w:val="285F4B0C"/>
    <w:rsid w:val="286A4CE2"/>
    <w:rsid w:val="287A1BAB"/>
    <w:rsid w:val="2891058C"/>
    <w:rsid w:val="28924AE3"/>
    <w:rsid w:val="2895715D"/>
    <w:rsid w:val="289801CB"/>
    <w:rsid w:val="28996C84"/>
    <w:rsid w:val="28A15125"/>
    <w:rsid w:val="28BD574F"/>
    <w:rsid w:val="28DC2514"/>
    <w:rsid w:val="28EA6ACC"/>
    <w:rsid w:val="28ED63F5"/>
    <w:rsid w:val="28EF40E2"/>
    <w:rsid w:val="28F726D2"/>
    <w:rsid w:val="28FB7B25"/>
    <w:rsid w:val="28FF2913"/>
    <w:rsid w:val="29084217"/>
    <w:rsid w:val="2911082C"/>
    <w:rsid w:val="29186873"/>
    <w:rsid w:val="29234196"/>
    <w:rsid w:val="293E5A06"/>
    <w:rsid w:val="29457862"/>
    <w:rsid w:val="295D6810"/>
    <w:rsid w:val="296F1ED4"/>
    <w:rsid w:val="29763310"/>
    <w:rsid w:val="29844183"/>
    <w:rsid w:val="29895073"/>
    <w:rsid w:val="2994765B"/>
    <w:rsid w:val="29A6156E"/>
    <w:rsid w:val="29A75266"/>
    <w:rsid w:val="29B14C0C"/>
    <w:rsid w:val="29BB3B1F"/>
    <w:rsid w:val="29CF01C8"/>
    <w:rsid w:val="29D60A75"/>
    <w:rsid w:val="29DA269C"/>
    <w:rsid w:val="29F9207C"/>
    <w:rsid w:val="29FF4E05"/>
    <w:rsid w:val="2A013DC8"/>
    <w:rsid w:val="2A174707"/>
    <w:rsid w:val="2A277D99"/>
    <w:rsid w:val="2A296A3A"/>
    <w:rsid w:val="2A2C6C0A"/>
    <w:rsid w:val="2A317302"/>
    <w:rsid w:val="2A351FC9"/>
    <w:rsid w:val="2A35340A"/>
    <w:rsid w:val="2A3675C6"/>
    <w:rsid w:val="2A4F100E"/>
    <w:rsid w:val="2A5D10C5"/>
    <w:rsid w:val="2A646E80"/>
    <w:rsid w:val="2A6E07F2"/>
    <w:rsid w:val="2A721D62"/>
    <w:rsid w:val="2A7F704A"/>
    <w:rsid w:val="2A88123F"/>
    <w:rsid w:val="2AA90E7C"/>
    <w:rsid w:val="2ABB6174"/>
    <w:rsid w:val="2AC55C57"/>
    <w:rsid w:val="2AC82D3A"/>
    <w:rsid w:val="2AC951B8"/>
    <w:rsid w:val="2AD85C54"/>
    <w:rsid w:val="2AED482E"/>
    <w:rsid w:val="2AFD15CC"/>
    <w:rsid w:val="2B042F8B"/>
    <w:rsid w:val="2B06790B"/>
    <w:rsid w:val="2B157704"/>
    <w:rsid w:val="2B235CB6"/>
    <w:rsid w:val="2B245626"/>
    <w:rsid w:val="2B2714AF"/>
    <w:rsid w:val="2B2C1B81"/>
    <w:rsid w:val="2B4029D3"/>
    <w:rsid w:val="2B4226EE"/>
    <w:rsid w:val="2B490F99"/>
    <w:rsid w:val="2B4F407E"/>
    <w:rsid w:val="2B520958"/>
    <w:rsid w:val="2B663B29"/>
    <w:rsid w:val="2B6B6077"/>
    <w:rsid w:val="2B745883"/>
    <w:rsid w:val="2B7613E8"/>
    <w:rsid w:val="2B7901E6"/>
    <w:rsid w:val="2B7D59D5"/>
    <w:rsid w:val="2B872D55"/>
    <w:rsid w:val="2B8742F0"/>
    <w:rsid w:val="2B8925CC"/>
    <w:rsid w:val="2B8A74A4"/>
    <w:rsid w:val="2BAC5168"/>
    <w:rsid w:val="2BB331A5"/>
    <w:rsid w:val="2BB94EAD"/>
    <w:rsid w:val="2BBF3171"/>
    <w:rsid w:val="2BD46068"/>
    <w:rsid w:val="2BD8128F"/>
    <w:rsid w:val="2BDC051C"/>
    <w:rsid w:val="2BF6600E"/>
    <w:rsid w:val="2C27406F"/>
    <w:rsid w:val="2C2B1591"/>
    <w:rsid w:val="2C2F3999"/>
    <w:rsid w:val="2C3E2AA3"/>
    <w:rsid w:val="2C4801FB"/>
    <w:rsid w:val="2C501783"/>
    <w:rsid w:val="2C544947"/>
    <w:rsid w:val="2C617E07"/>
    <w:rsid w:val="2C661AF2"/>
    <w:rsid w:val="2C704ADF"/>
    <w:rsid w:val="2C7455CC"/>
    <w:rsid w:val="2C80451A"/>
    <w:rsid w:val="2C845827"/>
    <w:rsid w:val="2C857FB4"/>
    <w:rsid w:val="2C8B5877"/>
    <w:rsid w:val="2C8F603B"/>
    <w:rsid w:val="2C92015A"/>
    <w:rsid w:val="2C970CD3"/>
    <w:rsid w:val="2C99366E"/>
    <w:rsid w:val="2CD43A9E"/>
    <w:rsid w:val="2CDC2017"/>
    <w:rsid w:val="2CE134E1"/>
    <w:rsid w:val="2CE4511D"/>
    <w:rsid w:val="2CF33A75"/>
    <w:rsid w:val="2CFA0E5A"/>
    <w:rsid w:val="2CFA6E09"/>
    <w:rsid w:val="2D0140B8"/>
    <w:rsid w:val="2D031F0A"/>
    <w:rsid w:val="2D032492"/>
    <w:rsid w:val="2D067C4C"/>
    <w:rsid w:val="2D157E8F"/>
    <w:rsid w:val="2D160B9D"/>
    <w:rsid w:val="2D1F46E2"/>
    <w:rsid w:val="2D2B53E8"/>
    <w:rsid w:val="2D346268"/>
    <w:rsid w:val="2D45328A"/>
    <w:rsid w:val="2D46523B"/>
    <w:rsid w:val="2D496DEE"/>
    <w:rsid w:val="2D5133C6"/>
    <w:rsid w:val="2D572522"/>
    <w:rsid w:val="2D7117F1"/>
    <w:rsid w:val="2D797247"/>
    <w:rsid w:val="2D805BE8"/>
    <w:rsid w:val="2D820795"/>
    <w:rsid w:val="2D8E14C2"/>
    <w:rsid w:val="2D9172BC"/>
    <w:rsid w:val="2D965339"/>
    <w:rsid w:val="2D9D235F"/>
    <w:rsid w:val="2DA76D39"/>
    <w:rsid w:val="2DAE0E2F"/>
    <w:rsid w:val="2DAE19B9"/>
    <w:rsid w:val="2DB63420"/>
    <w:rsid w:val="2DCE24EF"/>
    <w:rsid w:val="2DD41AF8"/>
    <w:rsid w:val="2DDD52C3"/>
    <w:rsid w:val="2DE02F0E"/>
    <w:rsid w:val="2DEB14C6"/>
    <w:rsid w:val="2DFB4BEE"/>
    <w:rsid w:val="2DFB5540"/>
    <w:rsid w:val="2E0C4DEE"/>
    <w:rsid w:val="2E0F7BC9"/>
    <w:rsid w:val="2E1220D3"/>
    <w:rsid w:val="2E1C2F4F"/>
    <w:rsid w:val="2E26598C"/>
    <w:rsid w:val="2E30352F"/>
    <w:rsid w:val="2E313479"/>
    <w:rsid w:val="2E3563FE"/>
    <w:rsid w:val="2E427AD7"/>
    <w:rsid w:val="2E4742E8"/>
    <w:rsid w:val="2E49371E"/>
    <w:rsid w:val="2E4E703D"/>
    <w:rsid w:val="2E530A3B"/>
    <w:rsid w:val="2E547C05"/>
    <w:rsid w:val="2E617687"/>
    <w:rsid w:val="2E9C0E80"/>
    <w:rsid w:val="2EAC037F"/>
    <w:rsid w:val="2EC802FE"/>
    <w:rsid w:val="2ED71745"/>
    <w:rsid w:val="2ED83C04"/>
    <w:rsid w:val="2EFF59B7"/>
    <w:rsid w:val="2F0F103A"/>
    <w:rsid w:val="2F1A178D"/>
    <w:rsid w:val="2F271038"/>
    <w:rsid w:val="2F2723FF"/>
    <w:rsid w:val="2F2A6C58"/>
    <w:rsid w:val="2F2F2529"/>
    <w:rsid w:val="2F3142AE"/>
    <w:rsid w:val="2F482A35"/>
    <w:rsid w:val="2F4F5615"/>
    <w:rsid w:val="2F6624C4"/>
    <w:rsid w:val="2F72323B"/>
    <w:rsid w:val="2F754C15"/>
    <w:rsid w:val="2F811DA2"/>
    <w:rsid w:val="2F8D547B"/>
    <w:rsid w:val="2F9D68B0"/>
    <w:rsid w:val="2F9F7792"/>
    <w:rsid w:val="2FA23C5C"/>
    <w:rsid w:val="2FAE20A5"/>
    <w:rsid w:val="2FAF3B4C"/>
    <w:rsid w:val="2FD03228"/>
    <w:rsid w:val="2FD8767E"/>
    <w:rsid w:val="2FF30199"/>
    <w:rsid w:val="2FFB25C5"/>
    <w:rsid w:val="30001C0A"/>
    <w:rsid w:val="300076CE"/>
    <w:rsid w:val="30143EB1"/>
    <w:rsid w:val="301536F0"/>
    <w:rsid w:val="301B3EF9"/>
    <w:rsid w:val="302C3913"/>
    <w:rsid w:val="303D2CC1"/>
    <w:rsid w:val="303E4E2D"/>
    <w:rsid w:val="30406FD1"/>
    <w:rsid w:val="3049057C"/>
    <w:rsid w:val="3067798D"/>
    <w:rsid w:val="306B04F2"/>
    <w:rsid w:val="30743BFE"/>
    <w:rsid w:val="307B6575"/>
    <w:rsid w:val="30872809"/>
    <w:rsid w:val="3095731D"/>
    <w:rsid w:val="309C48FE"/>
    <w:rsid w:val="30AD3114"/>
    <w:rsid w:val="30B410CD"/>
    <w:rsid w:val="30C91446"/>
    <w:rsid w:val="30DE46FC"/>
    <w:rsid w:val="30DF129D"/>
    <w:rsid w:val="30E77FED"/>
    <w:rsid w:val="30EA0FB0"/>
    <w:rsid w:val="30EE4982"/>
    <w:rsid w:val="30F176C1"/>
    <w:rsid w:val="30F81295"/>
    <w:rsid w:val="31042A98"/>
    <w:rsid w:val="31180CAC"/>
    <w:rsid w:val="311A3CC6"/>
    <w:rsid w:val="311B7685"/>
    <w:rsid w:val="31251439"/>
    <w:rsid w:val="31285405"/>
    <w:rsid w:val="312F3EEC"/>
    <w:rsid w:val="313C6415"/>
    <w:rsid w:val="313F7198"/>
    <w:rsid w:val="31474195"/>
    <w:rsid w:val="316D469E"/>
    <w:rsid w:val="318543A7"/>
    <w:rsid w:val="318F1172"/>
    <w:rsid w:val="31B200B2"/>
    <w:rsid w:val="31B87C8F"/>
    <w:rsid w:val="31BC251A"/>
    <w:rsid w:val="31ED56A0"/>
    <w:rsid w:val="31F235A6"/>
    <w:rsid w:val="31F8311F"/>
    <w:rsid w:val="321A3074"/>
    <w:rsid w:val="32264E7F"/>
    <w:rsid w:val="324323C3"/>
    <w:rsid w:val="325F3F6B"/>
    <w:rsid w:val="32712334"/>
    <w:rsid w:val="3279493E"/>
    <w:rsid w:val="327D62BB"/>
    <w:rsid w:val="328413F6"/>
    <w:rsid w:val="32843861"/>
    <w:rsid w:val="328459A2"/>
    <w:rsid w:val="32865178"/>
    <w:rsid w:val="32865B36"/>
    <w:rsid w:val="328C4691"/>
    <w:rsid w:val="328F5E3A"/>
    <w:rsid w:val="329553C0"/>
    <w:rsid w:val="329C4B8B"/>
    <w:rsid w:val="32CA2900"/>
    <w:rsid w:val="32EB591A"/>
    <w:rsid w:val="32F3657D"/>
    <w:rsid w:val="33010BA1"/>
    <w:rsid w:val="33024923"/>
    <w:rsid w:val="33091CC4"/>
    <w:rsid w:val="33200FFA"/>
    <w:rsid w:val="33206BCF"/>
    <w:rsid w:val="33263823"/>
    <w:rsid w:val="33337639"/>
    <w:rsid w:val="333861BF"/>
    <w:rsid w:val="33446EA2"/>
    <w:rsid w:val="33476672"/>
    <w:rsid w:val="334F552F"/>
    <w:rsid w:val="33523BD1"/>
    <w:rsid w:val="33592622"/>
    <w:rsid w:val="335E682D"/>
    <w:rsid w:val="335F2FA8"/>
    <w:rsid w:val="33657C59"/>
    <w:rsid w:val="337362F0"/>
    <w:rsid w:val="337B0E24"/>
    <w:rsid w:val="33815CBF"/>
    <w:rsid w:val="3391158F"/>
    <w:rsid w:val="33954F81"/>
    <w:rsid w:val="33962FF3"/>
    <w:rsid w:val="33A14A88"/>
    <w:rsid w:val="33AA3C56"/>
    <w:rsid w:val="33AD2EF5"/>
    <w:rsid w:val="33B4686F"/>
    <w:rsid w:val="33B50731"/>
    <w:rsid w:val="33B54410"/>
    <w:rsid w:val="33BA38B1"/>
    <w:rsid w:val="33C204E2"/>
    <w:rsid w:val="33C25F6A"/>
    <w:rsid w:val="33C63C91"/>
    <w:rsid w:val="33DD5563"/>
    <w:rsid w:val="33DF0161"/>
    <w:rsid w:val="33DF3362"/>
    <w:rsid w:val="33E613F7"/>
    <w:rsid w:val="33FF229C"/>
    <w:rsid w:val="340D51D6"/>
    <w:rsid w:val="340F0794"/>
    <w:rsid w:val="341B4A8C"/>
    <w:rsid w:val="34265714"/>
    <w:rsid w:val="342F5CDB"/>
    <w:rsid w:val="34316A8E"/>
    <w:rsid w:val="343E45DC"/>
    <w:rsid w:val="34432394"/>
    <w:rsid w:val="344A50C2"/>
    <w:rsid w:val="344E1A73"/>
    <w:rsid w:val="34635241"/>
    <w:rsid w:val="346F6F23"/>
    <w:rsid w:val="34986590"/>
    <w:rsid w:val="34AB6376"/>
    <w:rsid w:val="34B1306E"/>
    <w:rsid w:val="34B416ED"/>
    <w:rsid w:val="34B57EC9"/>
    <w:rsid w:val="34C73AE4"/>
    <w:rsid w:val="34C81D31"/>
    <w:rsid w:val="34D2064C"/>
    <w:rsid w:val="34D70B9F"/>
    <w:rsid w:val="34E63CEE"/>
    <w:rsid w:val="3505786F"/>
    <w:rsid w:val="3508002F"/>
    <w:rsid w:val="350C751E"/>
    <w:rsid w:val="350D312B"/>
    <w:rsid w:val="351B0868"/>
    <w:rsid w:val="35262C3A"/>
    <w:rsid w:val="353144CB"/>
    <w:rsid w:val="353F0394"/>
    <w:rsid w:val="354A2BB3"/>
    <w:rsid w:val="355933EF"/>
    <w:rsid w:val="35654D72"/>
    <w:rsid w:val="35684EF9"/>
    <w:rsid w:val="357572BD"/>
    <w:rsid w:val="357A6227"/>
    <w:rsid w:val="358D2CB9"/>
    <w:rsid w:val="358E08D8"/>
    <w:rsid w:val="358E5CA7"/>
    <w:rsid w:val="359C114E"/>
    <w:rsid w:val="35A07518"/>
    <w:rsid w:val="35AC1D7A"/>
    <w:rsid w:val="35AF4AF5"/>
    <w:rsid w:val="35B140A2"/>
    <w:rsid w:val="35E46CB8"/>
    <w:rsid w:val="35EF12A7"/>
    <w:rsid w:val="35F26A9E"/>
    <w:rsid w:val="36017203"/>
    <w:rsid w:val="360533E7"/>
    <w:rsid w:val="360A5BF9"/>
    <w:rsid w:val="36116125"/>
    <w:rsid w:val="36200475"/>
    <w:rsid w:val="362058DB"/>
    <w:rsid w:val="36221C05"/>
    <w:rsid w:val="36237003"/>
    <w:rsid w:val="363A3B4F"/>
    <w:rsid w:val="363B6F39"/>
    <w:rsid w:val="364308D0"/>
    <w:rsid w:val="364D615E"/>
    <w:rsid w:val="365313D8"/>
    <w:rsid w:val="365760F6"/>
    <w:rsid w:val="365E14FC"/>
    <w:rsid w:val="366E2EA8"/>
    <w:rsid w:val="36714792"/>
    <w:rsid w:val="36745C27"/>
    <w:rsid w:val="368340BC"/>
    <w:rsid w:val="369164E9"/>
    <w:rsid w:val="36935119"/>
    <w:rsid w:val="36AF0A7C"/>
    <w:rsid w:val="36B3674F"/>
    <w:rsid w:val="36CC5B5A"/>
    <w:rsid w:val="36EA58C4"/>
    <w:rsid w:val="37067387"/>
    <w:rsid w:val="371C2451"/>
    <w:rsid w:val="372106D0"/>
    <w:rsid w:val="372550CC"/>
    <w:rsid w:val="37360B84"/>
    <w:rsid w:val="373804ED"/>
    <w:rsid w:val="375525D5"/>
    <w:rsid w:val="375C0207"/>
    <w:rsid w:val="37652B59"/>
    <w:rsid w:val="376F182E"/>
    <w:rsid w:val="37746893"/>
    <w:rsid w:val="3784633D"/>
    <w:rsid w:val="378D2206"/>
    <w:rsid w:val="37972711"/>
    <w:rsid w:val="37981959"/>
    <w:rsid w:val="37B75E14"/>
    <w:rsid w:val="37C36E66"/>
    <w:rsid w:val="37C97332"/>
    <w:rsid w:val="37CA064F"/>
    <w:rsid w:val="37CD1A92"/>
    <w:rsid w:val="37E172EC"/>
    <w:rsid w:val="37E17F3E"/>
    <w:rsid w:val="37E27868"/>
    <w:rsid w:val="37EF7E00"/>
    <w:rsid w:val="37F034D5"/>
    <w:rsid w:val="37FE7E9E"/>
    <w:rsid w:val="380137A5"/>
    <w:rsid w:val="380B6117"/>
    <w:rsid w:val="380C6494"/>
    <w:rsid w:val="38156E2A"/>
    <w:rsid w:val="38233D50"/>
    <w:rsid w:val="38480268"/>
    <w:rsid w:val="384858A7"/>
    <w:rsid w:val="38524FFB"/>
    <w:rsid w:val="3856702B"/>
    <w:rsid w:val="386F18F2"/>
    <w:rsid w:val="38702BF4"/>
    <w:rsid w:val="3881229C"/>
    <w:rsid w:val="38A10829"/>
    <w:rsid w:val="38B17CCE"/>
    <w:rsid w:val="38B27053"/>
    <w:rsid w:val="38B6372B"/>
    <w:rsid w:val="38B91CF1"/>
    <w:rsid w:val="38D03B3A"/>
    <w:rsid w:val="38D2170C"/>
    <w:rsid w:val="38D94DD5"/>
    <w:rsid w:val="38DD4B38"/>
    <w:rsid w:val="38E42B80"/>
    <w:rsid w:val="38FA49EB"/>
    <w:rsid w:val="38FC4EC5"/>
    <w:rsid w:val="390C4EBF"/>
    <w:rsid w:val="391320B1"/>
    <w:rsid w:val="39152B9A"/>
    <w:rsid w:val="39160ABA"/>
    <w:rsid w:val="39243B3B"/>
    <w:rsid w:val="39292CF8"/>
    <w:rsid w:val="3941362A"/>
    <w:rsid w:val="394E7346"/>
    <w:rsid w:val="3963054A"/>
    <w:rsid w:val="39745F21"/>
    <w:rsid w:val="397F13C6"/>
    <w:rsid w:val="39825B3D"/>
    <w:rsid w:val="39867C46"/>
    <w:rsid w:val="398C01EE"/>
    <w:rsid w:val="398D3FE5"/>
    <w:rsid w:val="39924D42"/>
    <w:rsid w:val="39A433D9"/>
    <w:rsid w:val="39AE37B1"/>
    <w:rsid w:val="39B27C48"/>
    <w:rsid w:val="39BD13B2"/>
    <w:rsid w:val="39BF3377"/>
    <w:rsid w:val="39C11183"/>
    <w:rsid w:val="39CB53A0"/>
    <w:rsid w:val="39D10781"/>
    <w:rsid w:val="39D20B46"/>
    <w:rsid w:val="39DE7B47"/>
    <w:rsid w:val="39EB26A4"/>
    <w:rsid w:val="39FB30CF"/>
    <w:rsid w:val="3A037BCA"/>
    <w:rsid w:val="3A0D4788"/>
    <w:rsid w:val="3A0F581D"/>
    <w:rsid w:val="3A1637D2"/>
    <w:rsid w:val="3A476D28"/>
    <w:rsid w:val="3A492CD3"/>
    <w:rsid w:val="3A5E5504"/>
    <w:rsid w:val="3A692782"/>
    <w:rsid w:val="3A7D1D64"/>
    <w:rsid w:val="3A7F5964"/>
    <w:rsid w:val="3A8305F1"/>
    <w:rsid w:val="3A8B5B01"/>
    <w:rsid w:val="3A9B5311"/>
    <w:rsid w:val="3AA966EE"/>
    <w:rsid w:val="3AAD1386"/>
    <w:rsid w:val="3AC554B1"/>
    <w:rsid w:val="3AE72E6B"/>
    <w:rsid w:val="3AE8709F"/>
    <w:rsid w:val="3AEB58D1"/>
    <w:rsid w:val="3AFF1218"/>
    <w:rsid w:val="3B02490C"/>
    <w:rsid w:val="3B1704E7"/>
    <w:rsid w:val="3B17365F"/>
    <w:rsid w:val="3B1C5AC3"/>
    <w:rsid w:val="3B211081"/>
    <w:rsid w:val="3B2D535A"/>
    <w:rsid w:val="3B395E0B"/>
    <w:rsid w:val="3B3C7D33"/>
    <w:rsid w:val="3B3D7089"/>
    <w:rsid w:val="3B467CEF"/>
    <w:rsid w:val="3B4C2F0A"/>
    <w:rsid w:val="3B535A47"/>
    <w:rsid w:val="3B570D76"/>
    <w:rsid w:val="3B587535"/>
    <w:rsid w:val="3B6C15C2"/>
    <w:rsid w:val="3B884E80"/>
    <w:rsid w:val="3B9E5858"/>
    <w:rsid w:val="3BA35543"/>
    <w:rsid w:val="3BAB02CC"/>
    <w:rsid w:val="3BBD215C"/>
    <w:rsid w:val="3BC767F9"/>
    <w:rsid w:val="3BC8725B"/>
    <w:rsid w:val="3BCA19BF"/>
    <w:rsid w:val="3BD84A87"/>
    <w:rsid w:val="3BDF1BAD"/>
    <w:rsid w:val="3BF53366"/>
    <w:rsid w:val="3BF74F63"/>
    <w:rsid w:val="3BFC281C"/>
    <w:rsid w:val="3C0336BC"/>
    <w:rsid w:val="3C1704C5"/>
    <w:rsid w:val="3C1D5373"/>
    <w:rsid w:val="3C303E13"/>
    <w:rsid w:val="3C36605F"/>
    <w:rsid w:val="3C3E105D"/>
    <w:rsid w:val="3C430A0F"/>
    <w:rsid w:val="3C4B368F"/>
    <w:rsid w:val="3C4E734D"/>
    <w:rsid w:val="3C6412E7"/>
    <w:rsid w:val="3C680C61"/>
    <w:rsid w:val="3C7C0CDA"/>
    <w:rsid w:val="3C801E56"/>
    <w:rsid w:val="3C8A7D03"/>
    <w:rsid w:val="3C902227"/>
    <w:rsid w:val="3CDE36E0"/>
    <w:rsid w:val="3CEE24B3"/>
    <w:rsid w:val="3CEF24AB"/>
    <w:rsid w:val="3D0650AA"/>
    <w:rsid w:val="3D0E36F6"/>
    <w:rsid w:val="3D146C32"/>
    <w:rsid w:val="3D1B66CC"/>
    <w:rsid w:val="3D2779C9"/>
    <w:rsid w:val="3D2E4398"/>
    <w:rsid w:val="3D3B7F7D"/>
    <w:rsid w:val="3D511BC4"/>
    <w:rsid w:val="3D566A72"/>
    <w:rsid w:val="3D7600FE"/>
    <w:rsid w:val="3D7A65B3"/>
    <w:rsid w:val="3D931C96"/>
    <w:rsid w:val="3DAE3D88"/>
    <w:rsid w:val="3DB64AA5"/>
    <w:rsid w:val="3DB93072"/>
    <w:rsid w:val="3DBF4B06"/>
    <w:rsid w:val="3DD21067"/>
    <w:rsid w:val="3DE47E56"/>
    <w:rsid w:val="3E0A3D78"/>
    <w:rsid w:val="3E0D25AD"/>
    <w:rsid w:val="3E1C5A30"/>
    <w:rsid w:val="3E280C7B"/>
    <w:rsid w:val="3E3809B2"/>
    <w:rsid w:val="3E483C21"/>
    <w:rsid w:val="3E5A5F68"/>
    <w:rsid w:val="3E5F5A21"/>
    <w:rsid w:val="3E6148ED"/>
    <w:rsid w:val="3E722E7B"/>
    <w:rsid w:val="3E7367F6"/>
    <w:rsid w:val="3E773454"/>
    <w:rsid w:val="3E7A7119"/>
    <w:rsid w:val="3E8E79D5"/>
    <w:rsid w:val="3E921340"/>
    <w:rsid w:val="3E9C12DB"/>
    <w:rsid w:val="3EAF0F44"/>
    <w:rsid w:val="3EC0456A"/>
    <w:rsid w:val="3EC2190D"/>
    <w:rsid w:val="3EC623EB"/>
    <w:rsid w:val="3EC777CF"/>
    <w:rsid w:val="3EE43BF5"/>
    <w:rsid w:val="3EE47EDD"/>
    <w:rsid w:val="3F184167"/>
    <w:rsid w:val="3F1E56A2"/>
    <w:rsid w:val="3F23081B"/>
    <w:rsid w:val="3F473ED8"/>
    <w:rsid w:val="3F5624AB"/>
    <w:rsid w:val="3F5744E2"/>
    <w:rsid w:val="3F63503F"/>
    <w:rsid w:val="3F6D5D6C"/>
    <w:rsid w:val="3F724CCD"/>
    <w:rsid w:val="3F8A4975"/>
    <w:rsid w:val="3F9B0AC0"/>
    <w:rsid w:val="3F9C0709"/>
    <w:rsid w:val="3FAF1A7E"/>
    <w:rsid w:val="3FB157F6"/>
    <w:rsid w:val="3FBA1401"/>
    <w:rsid w:val="3FBB3E98"/>
    <w:rsid w:val="3FBF1267"/>
    <w:rsid w:val="3FCB2D5B"/>
    <w:rsid w:val="3FDC1FAC"/>
    <w:rsid w:val="3FF574A0"/>
    <w:rsid w:val="400022D9"/>
    <w:rsid w:val="400A7D4D"/>
    <w:rsid w:val="402204A1"/>
    <w:rsid w:val="402D78A8"/>
    <w:rsid w:val="40425D47"/>
    <w:rsid w:val="405F6BB2"/>
    <w:rsid w:val="406009C7"/>
    <w:rsid w:val="406844BA"/>
    <w:rsid w:val="406D5F4C"/>
    <w:rsid w:val="406E17B2"/>
    <w:rsid w:val="40755EE2"/>
    <w:rsid w:val="407C234D"/>
    <w:rsid w:val="407D5B02"/>
    <w:rsid w:val="408647C8"/>
    <w:rsid w:val="408B6040"/>
    <w:rsid w:val="409962F0"/>
    <w:rsid w:val="409E2BAF"/>
    <w:rsid w:val="40AB1D25"/>
    <w:rsid w:val="40B42CEB"/>
    <w:rsid w:val="40B737CE"/>
    <w:rsid w:val="40E1210B"/>
    <w:rsid w:val="40E5019B"/>
    <w:rsid w:val="40F6695C"/>
    <w:rsid w:val="410376DA"/>
    <w:rsid w:val="41110C42"/>
    <w:rsid w:val="411641CE"/>
    <w:rsid w:val="411B29F7"/>
    <w:rsid w:val="413C37E5"/>
    <w:rsid w:val="4141252C"/>
    <w:rsid w:val="414459AE"/>
    <w:rsid w:val="414922E1"/>
    <w:rsid w:val="415948BC"/>
    <w:rsid w:val="4167478B"/>
    <w:rsid w:val="416E4A5C"/>
    <w:rsid w:val="416E6B1F"/>
    <w:rsid w:val="41717932"/>
    <w:rsid w:val="418B12F5"/>
    <w:rsid w:val="418C40C5"/>
    <w:rsid w:val="41A02BEA"/>
    <w:rsid w:val="41A7213D"/>
    <w:rsid w:val="41D12780"/>
    <w:rsid w:val="41D32461"/>
    <w:rsid w:val="41DC75A3"/>
    <w:rsid w:val="41FA1ECF"/>
    <w:rsid w:val="41FB3559"/>
    <w:rsid w:val="41FE136D"/>
    <w:rsid w:val="42030B10"/>
    <w:rsid w:val="42071183"/>
    <w:rsid w:val="420A4BB4"/>
    <w:rsid w:val="4211083B"/>
    <w:rsid w:val="42132182"/>
    <w:rsid w:val="42146E7F"/>
    <w:rsid w:val="42176EA0"/>
    <w:rsid w:val="421B4C2D"/>
    <w:rsid w:val="42214167"/>
    <w:rsid w:val="422229DB"/>
    <w:rsid w:val="425F5043"/>
    <w:rsid w:val="427C52EB"/>
    <w:rsid w:val="42810F01"/>
    <w:rsid w:val="42844C60"/>
    <w:rsid w:val="42927D33"/>
    <w:rsid w:val="42971642"/>
    <w:rsid w:val="429D5995"/>
    <w:rsid w:val="42A202E7"/>
    <w:rsid w:val="42B775C7"/>
    <w:rsid w:val="42C96FD1"/>
    <w:rsid w:val="42D176B7"/>
    <w:rsid w:val="42D41DA1"/>
    <w:rsid w:val="42E840FA"/>
    <w:rsid w:val="42EE0B0F"/>
    <w:rsid w:val="42F473D7"/>
    <w:rsid w:val="430662D2"/>
    <w:rsid w:val="43095D2C"/>
    <w:rsid w:val="431C567C"/>
    <w:rsid w:val="432200A6"/>
    <w:rsid w:val="43222685"/>
    <w:rsid w:val="4342226B"/>
    <w:rsid w:val="43436CCF"/>
    <w:rsid w:val="43513E94"/>
    <w:rsid w:val="43595191"/>
    <w:rsid w:val="43706B2E"/>
    <w:rsid w:val="437D1054"/>
    <w:rsid w:val="4383322E"/>
    <w:rsid w:val="4389208D"/>
    <w:rsid w:val="4395189D"/>
    <w:rsid w:val="43993F02"/>
    <w:rsid w:val="439D3983"/>
    <w:rsid w:val="43A4621C"/>
    <w:rsid w:val="43B00D63"/>
    <w:rsid w:val="43BF449C"/>
    <w:rsid w:val="43C84364"/>
    <w:rsid w:val="43CB660E"/>
    <w:rsid w:val="43D16466"/>
    <w:rsid w:val="43D674C5"/>
    <w:rsid w:val="43DB09BE"/>
    <w:rsid w:val="43DE5395"/>
    <w:rsid w:val="43E268C5"/>
    <w:rsid w:val="43EA2D93"/>
    <w:rsid w:val="43EA6480"/>
    <w:rsid w:val="43F66208"/>
    <w:rsid w:val="43FA61C5"/>
    <w:rsid w:val="44057262"/>
    <w:rsid w:val="440A7C98"/>
    <w:rsid w:val="44164062"/>
    <w:rsid w:val="441854EF"/>
    <w:rsid w:val="441F6F0C"/>
    <w:rsid w:val="44233CE1"/>
    <w:rsid w:val="443E10D4"/>
    <w:rsid w:val="44453DDE"/>
    <w:rsid w:val="44476A64"/>
    <w:rsid w:val="4449553C"/>
    <w:rsid w:val="445059DF"/>
    <w:rsid w:val="445350CD"/>
    <w:rsid w:val="44575E90"/>
    <w:rsid w:val="445900B5"/>
    <w:rsid w:val="4485527F"/>
    <w:rsid w:val="449601CF"/>
    <w:rsid w:val="44A349A0"/>
    <w:rsid w:val="44A51087"/>
    <w:rsid w:val="44AC1B6F"/>
    <w:rsid w:val="44C05412"/>
    <w:rsid w:val="44C35DA8"/>
    <w:rsid w:val="44CF3F25"/>
    <w:rsid w:val="44D9140F"/>
    <w:rsid w:val="44DA5CD2"/>
    <w:rsid w:val="44DA7E01"/>
    <w:rsid w:val="44E25554"/>
    <w:rsid w:val="44E727FB"/>
    <w:rsid w:val="44ED5DE7"/>
    <w:rsid w:val="44ED72D0"/>
    <w:rsid w:val="44F92119"/>
    <w:rsid w:val="45053DA9"/>
    <w:rsid w:val="45070B2C"/>
    <w:rsid w:val="450D69A7"/>
    <w:rsid w:val="45314D80"/>
    <w:rsid w:val="4548715E"/>
    <w:rsid w:val="45492956"/>
    <w:rsid w:val="45561110"/>
    <w:rsid w:val="455A550F"/>
    <w:rsid w:val="4565155C"/>
    <w:rsid w:val="45655EE4"/>
    <w:rsid w:val="459169CA"/>
    <w:rsid w:val="459A0089"/>
    <w:rsid w:val="459F4E2B"/>
    <w:rsid w:val="45A20C0F"/>
    <w:rsid w:val="45A766FD"/>
    <w:rsid w:val="45A95706"/>
    <w:rsid w:val="45AF578E"/>
    <w:rsid w:val="45C049E4"/>
    <w:rsid w:val="45C73FC5"/>
    <w:rsid w:val="45D77A3A"/>
    <w:rsid w:val="45D832CC"/>
    <w:rsid w:val="45E0633B"/>
    <w:rsid w:val="46075E7B"/>
    <w:rsid w:val="460B55AD"/>
    <w:rsid w:val="460C2435"/>
    <w:rsid w:val="460D168E"/>
    <w:rsid w:val="461C3B64"/>
    <w:rsid w:val="46367E4A"/>
    <w:rsid w:val="463B258E"/>
    <w:rsid w:val="46445615"/>
    <w:rsid w:val="464D3067"/>
    <w:rsid w:val="4675133E"/>
    <w:rsid w:val="469E63FA"/>
    <w:rsid w:val="46AC2997"/>
    <w:rsid w:val="46C6427C"/>
    <w:rsid w:val="46F37769"/>
    <w:rsid w:val="47002342"/>
    <w:rsid w:val="470628CB"/>
    <w:rsid w:val="47083C37"/>
    <w:rsid w:val="47266AC9"/>
    <w:rsid w:val="473006B8"/>
    <w:rsid w:val="47357DD3"/>
    <w:rsid w:val="473A3D2A"/>
    <w:rsid w:val="473F72A6"/>
    <w:rsid w:val="47461E71"/>
    <w:rsid w:val="47543636"/>
    <w:rsid w:val="475C74D6"/>
    <w:rsid w:val="476548F0"/>
    <w:rsid w:val="476561AD"/>
    <w:rsid w:val="476F66C2"/>
    <w:rsid w:val="477A738E"/>
    <w:rsid w:val="477B7C1F"/>
    <w:rsid w:val="478028AE"/>
    <w:rsid w:val="478E117B"/>
    <w:rsid w:val="4797026D"/>
    <w:rsid w:val="479A2110"/>
    <w:rsid w:val="47A078EF"/>
    <w:rsid w:val="47A34110"/>
    <w:rsid w:val="47D171C6"/>
    <w:rsid w:val="47DF6AAC"/>
    <w:rsid w:val="47DF72C3"/>
    <w:rsid w:val="47E31637"/>
    <w:rsid w:val="47EB043F"/>
    <w:rsid w:val="47F51B56"/>
    <w:rsid w:val="480908C5"/>
    <w:rsid w:val="48105906"/>
    <w:rsid w:val="48123ED9"/>
    <w:rsid w:val="48212289"/>
    <w:rsid w:val="482374AD"/>
    <w:rsid w:val="48294456"/>
    <w:rsid w:val="484552AF"/>
    <w:rsid w:val="485F4731"/>
    <w:rsid w:val="4869116B"/>
    <w:rsid w:val="486C5A34"/>
    <w:rsid w:val="4886171A"/>
    <w:rsid w:val="489029A5"/>
    <w:rsid w:val="489C44D5"/>
    <w:rsid w:val="489E0950"/>
    <w:rsid w:val="48AB20BF"/>
    <w:rsid w:val="48B8749B"/>
    <w:rsid w:val="48BF5427"/>
    <w:rsid w:val="48C13E78"/>
    <w:rsid w:val="48CB3C66"/>
    <w:rsid w:val="48DF34DB"/>
    <w:rsid w:val="48EB6B00"/>
    <w:rsid w:val="48EE0792"/>
    <w:rsid w:val="48FB6A60"/>
    <w:rsid w:val="491241F6"/>
    <w:rsid w:val="491D3EFC"/>
    <w:rsid w:val="49427DE4"/>
    <w:rsid w:val="495F078E"/>
    <w:rsid w:val="49673F41"/>
    <w:rsid w:val="49760683"/>
    <w:rsid w:val="498D35F6"/>
    <w:rsid w:val="499568E9"/>
    <w:rsid w:val="49A61C09"/>
    <w:rsid w:val="49A72822"/>
    <w:rsid w:val="49AD05F5"/>
    <w:rsid w:val="49AE2DA6"/>
    <w:rsid w:val="49B70E4F"/>
    <w:rsid w:val="49BF353F"/>
    <w:rsid w:val="49C90EE7"/>
    <w:rsid w:val="49CD76D0"/>
    <w:rsid w:val="49D86A3A"/>
    <w:rsid w:val="49E311FD"/>
    <w:rsid w:val="49E4763C"/>
    <w:rsid w:val="49E96D7A"/>
    <w:rsid w:val="4A050C18"/>
    <w:rsid w:val="4A113A61"/>
    <w:rsid w:val="4A1A49FA"/>
    <w:rsid w:val="4A2C0B2F"/>
    <w:rsid w:val="4A382009"/>
    <w:rsid w:val="4A3F748D"/>
    <w:rsid w:val="4A423976"/>
    <w:rsid w:val="4A4A2ACF"/>
    <w:rsid w:val="4A4B15A3"/>
    <w:rsid w:val="4A4B5A71"/>
    <w:rsid w:val="4A597932"/>
    <w:rsid w:val="4A6A63C4"/>
    <w:rsid w:val="4A6A7252"/>
    <w:rsid w:val="4A724FFB"/>
    <w:rsid w:val="4A751EBB"/>
    <w:rsid w:val="4A777A6B"/>
    <w:rsid w:val="4A7B712C"/>
    <w:rsid w:val="4A837182"/>
    <w:rsid w:val="4A8D0CA2"/>
    <w:rsid w:val="4A976F5D"/>
    <w:rsid w:val="4A9B2897"/>
    <w:rsid w:val="4ABC2931"/>
    <w:rsid w:val="4AD02211"/>
    <w:rsid w:val="4AD83F38"/>
    <w:rsid w:val="4ADE2DA7"/>
    <w:rsid w:val="4AE00410"/>
    <w:rsid w:val="4AE47B2C"/>
    <w:rsid w:val="4AE57050"/>
    <w:rsid w:val="4AF11BD1"/>
    <w:rsid w:val="4AFF1B0B"/>
    <w:rsid w:val="4B002FB2"/>
    <w:rsid w:val="4B236BBB"/>
    <w:rsid w:val="4B284605"/>
    <w:rsid w:val="4B38501D"/>
    <w:rsid w:val="4B4F22DE"/>
    <w:rsid w:val="4B66795F"/>
    <w:rsid w:val="4B84117A"/>
    <w:rsid w:val="4B890055"/>
    <w:rsid w:val="4B9A4D16"/>
    <w:rsid w:val="4BA00297"/>
    <w:rsid w:val="4BA85E96"/>
    <w:rsid w:val="4BAC5959"/>
    <w:rsid w:val="4BC76543"/>
    <w:rsid w:val="4BCA3F94"/>
    <w:rsid w:val="4BD22220"/>
    <w:rsid w:val="4BE72F27"/>
    <w:rsid w:val="4BE92D51"/>
    <w:rsid w:val="4BEE54BC"/>
    <w:rsid w:val="4BF0568C"/>
    <w:rsid w:val="4BF21A75"/>
    <w:rsid w:val="4C0E4149"/>
    <w:rsid w:val="4C1975C9"/>
    <w:rsid w:val="4C2C732B"/>
    <w:rsid w:val="4C4415DC"/>
    <w:rsid w:val="4C4E6EF6"/>
    <w:rsid w:val="4C5E2986"/>
    <w:rsid w:val="4C6641D6"/>
    <w:rsid w:val="4C82022F"/>
    <w:rsid w:val="4CA4577B"/>
    <w:rsid w:val="4CB85C94"/>
    <w:rsid w:val="4CC4300C"/>
    <w:rsid w:val="4CDC4359"/>
    <w:rsid w:val="4CFB30E2"/>
    <w:rsid w:val="4D2C48A1"/>
    <w:rsid w:val="4D2E7218"/>
    <w:rsid w:val="4D307A1A"/>
    <w:rsid w:val="4D3A0944"/>
    <w:rsid w:val="4D4214B1"/>
    <w:rsid w:val="4D542571"/>
    <w:rsid w:val="4D57693D"/>
    <w:rsid w:val="4D7834A2"/>
    <w:rsid w:val="4D886C44"/>
    <w:rsid w:val="4D8F358B"/>
    <w:rsid w:val="4DB315B6"/>
    <w:rsid w:val="4DC456BC"/>
    <w:rsid w:val="4DCE6238"/>
    <w:rsid w:val="4DD74FC1"/>
    <w:rsid w:val="4DDE1897"/>
    <w:rsid w:val="4DF560A1"/>
    <w:rsid w:val="4E0A0B68"/>
    <w:rsid w:val="4E0F2F7D"/>
    <w:rsid w:val="4E1E07AE"/>
    <w:rsid w:val="4E1F48C2"/>
    <w:rsid w:val="4E2B02A0"/>
    <w:rsid w:val="4E315EA7"/>
    <w:rsid w:val="4E3843F3"/>
    <w:rsid w:val="4E3917D8"/>
    <w:rsid w:val="4E4B1EA3"/>
    <w:rsid w:val="4E537B6E"/>
    <w:rsid w:val="4E5E1500"/>
    <w:rsid w:val="4E680E26"/>
    <w:rsid w:val="4E7054D4"/>
    <w:rsid w:val="4E7316C0"/>
    <w:rsid w:val="4E8C7034"/>
    <w:rsid w:val="4E9E02C9"/>
    <w:rsid w:val="4EA52760"/>
    <w:rsid w:val="4EC5306C"/>
    <w:rsid w:val="4EFC151F"/>
    <w:rsid w:val="4F0A462B"/>
    <w:rsid w:val="4F0D7F2D"/>
    <w:rsid w:val="4F3103DF"/>
    <w:rsid w:val="4F323C83"/>
    <w:rsid w:val="4F360C2D"/>
    <w:rsid w:val="4F3C616A"/>
    <w:rsid w:val="4F4520AD"/>
    <w:rsid w:val="4F4E4C4C"/>
    <w:rsid w:val="4F6A2335"/>
    <w:rsid w:val="4F7A2F65"/>
    <w:rsid w:val="4F7B1FD0"/>
    <w:rsid w:val="4F7F215C"/>
    <w:rsid w:val="4F8C1B42"/>
    <w:rsid w:val="4F9B03E6"/>
    <w:rsid w:val="4FA65F7C"/>
    <w:rsid w:val="4FAB400F"/>
    <w:rsid w:val="4FBA6948"/>
    <w:rsid w:val="4FC727CF"/>
    <w:rsid w:val="4FD75A6D"/>
    <w:rsid w:val="4FD92FBB"/>
    <w:rsid w:val="4FEB6B02"/>
    <w:rsid w:val="4FF51701"/>
    <w:rsid w:val="4FF60D80"/>
    <w:rsid w:val="4FF80BFB"/>
    <w:rsid w:val="4FFA6DD9"/>
    <w:rsid w:val="500129AB"/>
    <w:rsid w:val="50104C69"/>
    <w:rsid w:val="5011699D"/>
    <w:rsid w:val="50196E97"/>
    <w:rsid w:val="50264C3A"/>
    <w:rsid w:val="5030799C"/>
    <w:rsid w:val="5031638E"/>
    <w:rsid w:val="503B4529"/>
    <w:rsid w:val="505A2526"/>
    <w:rsid w:val="506348EA"/>
    <w:rsid w:val="509F58CF"/>
    <w:rsid w:val="50A01C90"/>
    <w:rsid w:val="50A212EF"/>
    <w:rsid w:val="50AA076B"/>
    <w:rsid w:val="50AE289B"/>
    <w:rsid w:val="50AF3F27"/>
    <w:rsid w:val="50C43238"/>
    <w:rsid w:val="50C47588"/>
    <w:rsid w:val="50C51101"/>
    <w:rsid w:val="50C730CB"/>
    <w:rsid w:val="50CF3D2E"/>
    <w:rsid w:val="50D553BA"/>
    <w:rsid w:val="50F96E01"/>
    <w:rsid w:val="510423AA"/>
    <w:rsid w:val="51106AAB"/>
    <w:rsid w:val="51164EC5"/>
    <w:rsid w:val="51190F7D"/>
    <w:rsid w:val="51225FC6"/>
    <w:rsid w:val="5125169A"/>
    <w:rsid w:val="512A365A"/>
    <w:rsid w:val="513A2638"/>
    <w:rsid w:val="516301CE"/>
    <w:rsid w:val="516B367A"/>
    <w:rsid w:val="517D51AA"/>
    <w:rsid w:val="518A717A"/>
    <w:rsid w:val="5192750D"/>
    <w:rsid w:val="519A6A1D"/>
    <w:rsid w:val="51A1111D"/>
    <w:rsid w:val="51A80629"/>
    <w:rsid w:val="51BC15A9"/>
    <w:rsid w:val="51CB517E"/>
    <w:rsid w:val="51EA4868"/>
    <w:rsid w:val="51F352B7"/>
    <w:rsid w:val="51FA28A0"/>
    <w:rsid w:val="521A2426"/>
    <w:rsid w:val="522400A9"/>
    <w:rsid w:val="52301DA9"/>
    <w:rsid w:val="52576BE6"/>
    <w:rsid w:val="52727066"/>
    <w:rsid w:val="527B0CFF"/>
    <w:rsid w:val="527E5A0B"/>
    <w:rsid w:val="528171D7"/>
    <w:rsid w:val="528965A9"/>
    <w:rsid w:val="528F198C"/>
    <w:rsid w:val="52962F3D"/>
    <w:rsid w:val="52B15348"/>
    <w:rsid w:val="52B468FE"/>
    <w:rsid w:val="52B76D0A"/>
    <w:rsid w:val="52C00858"/>
    <w:rsid w:val="52C2248F"/>
    <w:rsid w:val="52D07299"/>
    <w:rsid w:val="52E35292"/>
    <w:rsid w:val="53010861"/>
    <w:rsid w:val="530C4D26"/>
    <w:rsid w:val="5319108E"/>
    <w:rsid w:val="53372F96"/>
    <w:rsid w:val="534F5EAD"/>
    <w:rsid w:val="53513375"/>
    <w:rsid w:val="53602AC6"/>
    <w:rsid w:val="53751DC0"/>
    <w:rsid w:val="537E7F5D"/>
    <w:rsid w:val="53807E1A"/>
    <w:rsid w:val="538A5297"/>
    <w:rsid w:val="538B57AC"/>
    <w:rsid w:val="538D3C6F"/>
    <w:rsid w:val="539150AB"/>
    <w:rsid w:val="539839CE"/>
    <w:rsid w:val="53A7391A"/>
    <w:rsid w:val="53C5723C"/>
    <w:rsid w:val="53C5776A"/>
    <w:rsid w:val="53E26D8A"/>
    <w:rsid w:val="53E9593A"/>
    <w:rsid w:val="53F11A8A"/>
    <w:rsid w:val="540208BE"/>
    <w:rsid w:val="540939FA"/>
    <w:rsid w:val="540B042F"/>
    <w:rsid w:val="540C3F04"/>
    <w:rsid w:val="542E344B"/>
    <w:rsid w:val="54371B1B"/>
    <w:rsid w:val="544A0F2B"/>
    <w:rsid w:val="5450761F"/>
    <w:rsid w:val="54574766"/>
    <w:rsid w:val="545818F4"/>
    <w:rsid w:val="54590FEB"/>
    <w:rsid w:val="54637A11"/>
    <w:rsid w:val="54646E83"/>
    <w:rsid w:val="54686973"/>
    <w:rsid w:val="547842A2"/>
    <w:rsid w:val="547A66A6"/>
    <w:rsid w:val="54AA4F96"/>
    <w:rsid w:val="54BF62A4"/>
    <w:rsid w:val="54C86C8C"/>
    <w:rsid w:val="54F97095"/>
    <w:rsid w:val="55017120"/>
    <w:rsid w:val="550454EA"/>
    <w:rsid w:val="550C7E6C"/>
    <w:rsid w:val="552105A0"/>
    <w:rsid w:val="55211939"/>
    <w:rsid w:val="55246E25"/>
    <w:rsid w:val="553560A7"/>
    <w:rsid w:val="55415924"/>
    <w:rsid w:val="554B5F61"/>
    <w:rsid w:val="55506ADE"/>
    <w:rsid w:val="55511B23"/>
    <w:rsid w:val="55635015"/>
    <w:rsid w:val="55647CC8"/>
    <w:rsid w:val="55654DD9"/>
    <w:rsid w:val="55664241"/>
    <w:rsid w:val="556E5BD1"/>
    <w:rsid w:val="557015D8"/>
    <w:rsid w:val="55715A91"/>
    <w:rsid w:val="55724889"/>
    <w:rsid w:val="55927EDC"/>
    <w:rsid w:val="55A75258"/>
    <w:rsid w:val="55AD1DCD"/>
    <w:rsid w:val="55AF2DCD"/>
    <w:rsid w:val="55B07E2F"/>
    <w:rsid w:val="55C16648"/>
    <w:rsid w:val="55DA38A0"/>
    <w:rsid w:val="55DB4473"/>
    <w:rsid w:val="55DD0BDC"/>
    <w:rsid w:val="55E41500"/>
    <w:rsid w:val="55E42029"/>
    <w:rsid w:val="55FD133D"/>
    <w:rsid w:val="56093471"/>
    <w:rsid w:val="56165D96"/>
    <w:rsid w:val="56231717"/>
    <w:rsid w:val="562D7609"/>
    <w:rsid w:val="56466B5C"/>
    <w:rsid w:val="565D0E04"/>
    <w:rsid w:val="566A386C"/>
    <w:rsid w:val="56887079"/>
    <w:rsid w:val="569602E4"/>
    <w:rsid w:val="56A35160"/>
    <w:rsid w:val="56A55D34"/>
    <w:rsid w:val="56A96482"/>
    <w:rsid w:val="56BA7016"/>
    <w:rsid w:val="56BE4112"/>
    <w:rsid w:val="56C17B31"/>
    <w:rsid w:val="56C7309C"/>
    <w:rsid w:val="56CB4DAC"/>
    <w:rsid w:val="5704311B"/>
    <w:rsid w:val="570E2527"/>
    <w:rsid w:val="571733C6"/>
    <w:rsid w:val="571C0069"/>
    <w:rsid w:val="572D7D3B"/>
    <w:rsid w:val="572E7D17"/>
    <w:rsid w:val="5734314E"/>
    <w:rsid w:val="573608C6"/>
    <w:rsid w:val="57360BB5"/>
    <w:rsid w:val="57406ED8"/>
    <w:rsid w:val="5747116E"/>
    <w:rsid w:val="57553BEB"/>
    <w:rsid w:val="57556C24"/>
    <w:rsid w:val="575B7AC1"/>
    <w:rsid w:val="575E7E48"/>
    <w:rsid w:val="57821021"/>
    <w:rsid w:val="579A49E2"/>
    <w:rsid w:val="57A30A11"/>
    <w:rsid w:val="57A33C00"/>
    <w:rsid w:val="57A92AD0"/>
    <w:rsid w:val="57B4353F"/>
    <w:rsid w:val="57BA145F"/>
    <w:rsid w:val="57C35650"/>
    <w:rsid w:val="57C905A6"/>
    <w:rsid w:val="57CD61F7"/>
    <w:rsid w:val="57E20032"/>
    <w:rsid w:val="57E70888"/>
    <w:rsid w:val="57F4093D"/>
    <w:rsid w:val="58017B15"/>
    <w:rsid w:val="580828A2"/>
    <w:rsid w:val="580924E1"/>
    <w:rsid w:val="580A7D41"/>
    <w:rsid w:val="582043BF"/>
    <w:rsid w:val="582164F0"/>
    <w:rsid w:val="582238CD"/>
    <w:rsid w:val="583E1727"/>
    <w:rsid w:val="584D65AC"/>
    <w:rsid w:val="585D1085"/>
    <w:rsid w:val="58671EDF"/>
    <w:rsid w:val="587E2B01"/>
    <w:rsid w:val="58896F65"/>
    <w:rsid w:val="588F03F9"/>
    <w:rsid w:val="5895259B"/>
    <w:rsid w:val="58A82DC7"/>
    <w:rsid w:val="58A90B95"/>
    <w:rsid w:val="58AF0EB0"/>
    <w:rsid w:val="58B922BE"/>
    <w:rsid w:val="58BA5C46"/>
    <w:rsid w:val="58C32712"/>
    <w:rsid w:val="58C93A11"/>
    <w:rsid w:val="58CF3C94"/>
    <w:rsid w:val="58EB2F8A"/>
    <w:rsid w:val="58EE1C81"/>
    <w:rsid w:val="58EE73AF"/>
    <w:rsid w:val="58FC77CC"/>
    <w:rsid w:val="59017396"/>
    <w:rsid w:val="59136284"/>
    <w:rsid w:val="591768ED"/>
    <w:rsid w:val="591A0630"/>
    <w:rsid w:val="591E1C42"/>
    <w:rsid w:val="59236663"/>
    <w:rsid w:val="593C5071"/>
    <w:rsid w:val="59547513"/>
    <w:rsid w:val="597F6CFE"/>
    <w:rsid w:val="598455B3"/>
    <w:rsid w:val="598C3591"/>
    <w:rsid w:val="598E393A"/>
    <w:rsid w:val="59926A19"/>
    <w:rsid w:val="599B3347"/>
    <w:rsid w:val="599B6E8A"/>
    <w:rsid w:val="599C1311"/>
    <w:rsid w:val="59A21216"/>
    <w:rsid w:val="59AA6CCF"/>
    <w:rsid w:val="59AF5D31"/>
    <w:rsid w:val="59B86F2E"/>
    <w:rsid w:val="59B937CD"/>
    <w:rsid w:val="59CA6AA4"/>
    <w:rsid w:val="59CB4DA6"/>
    <w:rsid w:val="5A086AFD"/>
    <w:rsid w:val="5A090F02"/>
    <w:rsid w:val="5A0B35F7"/>
    <w:rsid w:val="5A0F5DCC"/>
    <w:rsid w:val="5A1D1AA6"/>
    <w:rsid w:val="5A2C4290"/>
    <w:rsid w:val="5A2D2964"/>
    <w:rsid w:val="5A4365AD"/>
    <w:rsid w:val="5A597866"/>
    <w:rsid w:val="5A5F75AE"/>
    <w:rsid w:val="5A6A0110"/>
    <w:rsid w:val="5A7C3367"/>
    <w:rsid w:val="5AA004E9"/>
    <w:rsid w:val="5AAD0483"/>
    <w:rsid w:val="5ABE2016"/>
    <w:rsid w:val="5AD33458"/>
    <w:rsid w:val="5AD35A37"/>
    <w:rsid w:val="5AD52207"/>
    <w:rsid w:val="5ADA572D"/>
    <w:rsid w:val="5B0847A5"/>
    <w:rsid w:val="5B093EC8"/>
    <w:rsid w:val="5B0B0290"/>
    <w:rsid w:val="5B174C4F"/>
    <w:rsid w:val="5B201EDC"/>
    <w:rsid w:val="5B311FFA"/>
    <w:rsid w:val="5B374C6D"/>
    <w:rsid w:val="5B4826BA"/>
    <w:rsid w:val="5B4D6AFE"/>
    <w:rsid w:val="5B601541"/>
    <w:rsid w:val="5B625CC5"/>
    <w:rsid w:val="5B704FD5"/>
    <w:rsid w:val="5B7403B0"/>
    <w:rsid w:val="5B751A8B"/>
    <w:rsid w:val="5B810E6F"/>
    <w:rsid w:val="5B8F0C89"/>
    <w:rsid w:val="5BAC28BF"/>
    <w:rsid w:val="5BD5281E"/>
    <w:rsid w:val="5BE76684"/>
    <w:rsid w:val="5BE93445"/>
    <w:rsid w:val="5BEC08AB"/>
    <w:rsid w:val="5BEF3B28"/>
    <w:rsid w:val="5C0810C5"/>
    <w:rsid w:val="5C090541"/>
    <w:rsid w:val="5C09228D"/>
    <w:rsid w:val="5C0B6581"/>
    <w:rsid w:val="5C25622B"/>
    <w:rsid w:val="5C2C2B9A"/>
    <w:rsid w:val="5C441972"/>
    <w:rsid w:val="5C4924A6"/>
    <w:rsid w:val="5C55287E"/>
    <w:rsid w:val="5C607316"/>
    <w:rsid w:val="5C673654"/>
    <w:rsid w:val="5C744BD8"/>
    <w:rsid w:val="5C78018D"/>
    <w:rsid w:val="5C82528F"/>
    <w:rsid w:val="5C952E62"/>
    <w:rsid w:val="5CA47A37"/>
    <w:rsid w:val="5CB27227"/>
    <w:rsid w:val="5CEB5EA7"/>
    <w:rsid w:val="5CEE0813"/>
    <w:rsid w:val="5CF04E8E"/>
    <w:rsid w:val="5CF457A3"/>
    <w:rsid w:val="5D0A6D7A"/>
    <w:rsid w:val="5D1D0284"/>
    <w:rsid w:val="5D203487"/>
    <w:rsid w:val="5D2418A5"/>
    <w:rsid w:val="5D26574A"/>
    <w:rsid w:val="5D397033"/>
    <w:rsid w:val="5D3A4FFF"/>
    <w:rsid w:val="5D4135DE"/>
    <w:rsid w:val="5D4667E5"/>
    <w:rsid w:val="5D6A0F6E"/>
    <w:rsid w:val="5D6D507C"/>
    <w:rsid w:val="5D6F28B2"/>
    <w:rsid w:val="5D851E76"/>
    <w:rsid w:val="5D8C0DC8"/>
    <w:rsid w:val="5DC866D4"/>
    <w:rsid w:val="5DDA4491"/>
    <w:rsid w:val="5DDB4AD6"/>
    <w:rsid w:val="5DE16B0C"/>
    <w:rsid w:val="5DFD2BBB"/>
    <w:rsid w:val="5E0141B5"/>
    <w:rsid w:val="5E015A69"/>
    <w:rsid w:val="5E1A116E"/>
    <w:rsid w:val="5E2933F3"/>
    <w:rsid w:val="5E4A1C87"/>
    <w:rsid w:val="5E5353C2"/>
    <w:rsid w:val="5E575740"/>
    <w:rsid w:val="5E657CFE"/>
    <w:rsid w:val="5E7A1EB6"/>
    <w:rsid w:val="5E7B41D9"/>
    <w:rsid w:val="5E850121"/>
    <w:rsid w:val="5E976AE1"/>
    <w:rsid w:val="5EA15E7C"/>
    <w:rsid w:val="5EB521D9"/>
    <w:rsid w:val="5EC14C9A"/>
    <w:rsid w:val="5ED50C58"/>
    <w:rsid w:val="5EFF315F"/>
    <w:rsid w:val="5F0402CC"/>
    <w:rsid w:val="5F0C36BB"/>
    <w:rsid w:val="5F130415"/>
    <w:rsid w:val="5F20318A"/>
    <w:rsid w:val="5F29751F"/>
    <w:rsid w:val="5F365692"/>
    <w:rsid w:val="5F3B7BEC"/>
    <w:rsid w:val="5F4314B3"/>
    <w:rsid w:val="5F436FDA"/>
    <w:rsid w:val="5F46087C"/>
    <w:rsid w:val="5F4A5964"/>
    <w:rsid w:val="5F553F98"/>
    <w:rsid w:val="5F683E35"/>
    <w:rsid w:val="5F695437"/>
    <w:rsid w:val="5F893C41"/>
    <w:rsid w:val="5F8959EF"/>
    <w:rsid w:val="5F920D48"/>
    <w:rsid w:val="5F961E88"/>
    <w:rsid w:val="5F9743C0"/>
    <w:rsid w:val="5F976A98"/>
    <w:rsid w:val="5F9A353D"/>
    <w:rsid w:val="5FBA20FB"/>
    <w:rsid w:val="5FBC4C40"/>
    <w:rsid w:val="5FCC441C"/>
    <w:rsid w:val="5FD404A6"/>
    <w:rsid w:val="5FD74806"/>
    <w:rsid w:val="5FF76359"/>
    <w:rsid w:val="60035820"/>
    <w:rsid w:val="6013499C"/>
    <w:rsid w:val="60196D73"/>
    <w:rsid w:val="603A5FA7"/>
    <w:rsid w:val="6040767A"/>
    <w:rsid w:val="60473EA4"/>
    <w:rsid w:val="60622D78"/>
    <w:rsid w:val="60696206"/>
    <w:rsid w:val="60997EB4"/>
    <w:rsid w:val="609F5300"/>
    <w:rsid w:val="60A43C49"/>
    <w:rsid w:val="60AC32F1"/>
    <w:rsid w:val="60B54CBC"/>
    <w:rsid w:val="60BA67A8"/>
    <w:rsid w:val="60CB7FB2"/>
    <w:rsid w:val="60CE3CF3"/>
    <w:rsid w:val="60D218DD"/>
    <w:rsid w:val="60D87CEA"/>
    <w:rsid w:val="60DD04EC"/>
    <w:rsid w:val="60E37E6D"/>
    <w:rsid w:val="60E5353E"/>
    <w:rsid w:val="60EE1C23"/>
    <w:rsid w:val="60F22AB3"/>
    <w:rsid w:val="60F45C19"/>
    <w:rsid w:val="60FA4BF8"/>
    <w:rsid w:val="60FA539C"/>
    <w:rsid w:val="61372746"/>
    <w:rsid w:val="613F280A"/>
    <w:rsid w:val="613F3073"/>
    <w:rsid w:val="61493688"/>
    <w:rsid w:val="61530289"/>
    <w:rsid w:val="6155027F"/>
    <w:rsid w:val="61575031"/>
    <w:rsid w:val="616F0162"/>
    <w:rsid w:val="617C2C4D"/>
    <w:rsid w:val="618146C5"/>
    <w:rsid w:val="618162DB"/>
    <w:rsid w:val="61951E51"/>
    <w:rsid w:val="61A03870"/>
    <w:rsid w:val="61A34040"/>
    <w:rsid w:val="61AB6A91"/>
    <w:rsid w:val="61B96ED0"/>
    <w:rsid w:val="61C05CB6"/>
    <w:rsid w:val="61F14BAB"/>
    <w:rsid w:val="62022F83"/>
    <w:rsid w:val="6205308E"/>
    <w:rsid w:val="62072002"/>
    <w:rsid w:val="62075A96"/>
    <w:rsid w:val="621B3277"/>
    <w:rsid w:val="62200C38"/>
    <w:rsid w:val="622C18D2"/>
    <w:rsid w:val="622D186B"/>
    <w:rsid w:val="62357CCF"/>
    <w:rsid w:val="623847C9"/>
    <w:rsid w:val="62394D8A"/>
    <w:rsid w:val="623F5399"/>
    <w:rsid w:val="625E43DE"/>
    <w:rsid w:val="626258E4"/>
    <w:rsid w:val="62823552"/>
    <w:rsid w:val="629A1518"/>
    <w:rsid w:val="62C25692"/>
    <w:rsid w:val="62CA46AF"/>
    <w:rsid w:val="62CF349A"/>
    <w:rsid w:val="62DD4837"/>
    <w:rsid w:val="62E15CFC"/>
    <w:rsid w:val="62E6339A"/>
    <w:rsid w:val="62ED7647"/>
    <w:rsid w:val="62F97644"/>
    <w:rsid w:val="633C2714"/>
    <w:rsid w:val="634051F6"/>
    <w:rsid w:val="634A0645"/>
    <w:rsid w:val="634E0F3C"/>
    <w:rsid w:val="636B6E88"/>
    <w:rsid w:val="636C62C6"/>
    <w:rsid w:val="636E3DED"/>
    <w:rsid w:val="63777AAD"/>
    <w:rsid w:val="638157A9"/>
    <w:rsid w:val="639543D0"/>
    <w:rsid w:val="639A5E6B"/>
    <w:rsid w:val="63D517EB"/>
    <w:rsid w:val="63DC5DBF"/>
    <w:rsid w:val="63F50213"/>
    <w:rsid w:val="63F9101C"/>
    <w:rsid w:val="640E5988"/>
    <w:rsid w:val="64104931"/>
    <w:rsid w:val="64153CF6"/>
    <w:rsid w:val="64213BDD"/>
    <w:rsid w:val="6424491C"/>
    <w:rsid w:val="64346A01"/>
    <w:rsid w:val="644C34CA"/>
    <w:rsid w:val="644C5885"/>
    <w:rsid w:val="645111D2"/>
    <w:rsid w:val="64541E24"/>
    <w:rsid w:val="645E2D84"/>
    <w:rsid w:val="645F471C"/>
    <w:rsid w:val="64772801"/>
    <w:rsid w:val="64881420"/>
    <w:rsid w:val="64947310"/>
    <w:rsid w:val="64961DFF"/>
    <w:rsid w:val="64966BE4"/>
    <w:rsid w:val="64A04F2B"/>
    <w:rsid w:val="64AC70A5"/>
    <w:rsid w:val="64B37661"/>
    <w:rsid w:val="64B8184C"/>
    <w:rsid w:val="64B85CA1"/>
    <w:rsid w:val="64B87CF2"/>
    <w:rsid w:val="64BE077A"/>
    <w:rsid w:val="64C1215F"/>
    <w:rsid w:val="64F358C1"/>
    <w:rsid w:val="64FF5F47"/>
    <w:rsid w:val="65025CC9"/>
    <w:rsid w:val="65037FF2"/>
    <w:rsid w:val="65046CF4"/>
    <w:rsid w:val="650F762E"/>
    <w:rsid w:val="65264837"/>
    <w:rsid w:val="653B2128"/>
    <w:rsid w:val="65581557"/>
    <w:rsid w:val="65585A5A"/>
    <w:rsid w:val="656E4926"/>
    <w:rsid w:val="6580342E"/>
    <w:rsid w:val="6584385A"/>
    <w:rsid w:val="658B4268"/>
    <w:rsid w:val="658C4BCE"/>
    <w:rsid w:val="659B5909"/>
    <w:rsid w:val="65B473B0"/>
    <w:rsid w:val="65C96BB0"/>
    <w:rsid w:val="65CC2F89"/>
    <w:rsid w:val="65DE0AC0"/>
    <w:rsid w:val="65F04975"/>
    <w:rsid w:val="662E203E"/>
    <w:rsid w:val="66377F53"/>
    <w:rsid w:val="6638080C"/>
    <w:rsid w:val="66391D7F"/>
    <w:rsid w:val="663B0366"/>
    <w:rsid w:val="664973F8"/>
    <w:rsid w:val="664C1B2B"/>
    <w:rsid w:val="666816D0"/>
    <w:rsid w:val="66736CD3"/>
    <w:rsid w:val="66741C2E"/>
    <w:rsid w:val="667F6EBC"/>
    <w:rsid w:val="66813D56"/>
    <w:rsid w:val="66906E95"/>
    <w:rsid w:val="66925AD1"/>
    <w:rsid w:val="66A26523"/>
    <w:rsid w:val="66AF71C1"/>
    <w:rsid w:val="66C453B5"/>
    <w:rsid w:val="66CA7019"/>
    <w:rsid w:val="66CE1E41"/>
    <w:rsid w:val="66D23B74"/>
    <w:rsid w:val="66DB2370"/>
    <w:rsid w:val="66DE28BE"/>
    <w:rsid w:val="66E20BE4"/>
    <w:rsid w:val="66E27C11"/>
    <w:rsid w:val="66E31E89"/>
    <w:rsid w:val="67125D86"/>
    <w:rsid w:val="67193AFD"/>
    <w:rsid w:val="67417528"/>
    <w:rsid w:val="6744501E"/>
    <w:rsid w:val="67666FE0"/>
    <w:rsid w:val="676B7E58"/>
    <w:rsid w:val="676C1DD5"/>
    <w:rsid w:val="6774441F"/>
    <w:rsid w:val="6782219A"/>
    <w:rsid w:val="678E6951"/>
    <w:rsid w:val="6795391C"/>
    <w:rsid w:val="6796339F"/>
    <w:rsid w:val="679B2C40"/>
    <w:rsid w:val="67A178BA"/>
    <w:rsid w:val="67A67193"/>
    <w:rsid w:val="67A90DAC"/>
    <w:rsid w:val="67AE1354"/>
    <w:rsid w:val="67B13424"/>
    <w:rsid w:val="67B67BDF"/>
    <w:rsid w:val="67C37448"/>
    <w:rsid w:val="67D85965"/>
    <w:rsid w:val="67E35D0B"/>
    <w:rsid w:val="67E82C46"/>
    <w:rsid w:val="67F16520"/>
    <w:rsid w:val="68000AAB"/>
    <w:rsid w:val="68030A35"/>
    <w:rsid w:val="68087910"/>
    <w:rsid w:val="6809299B"/>
    <w:rsid w:val="68295ACF"/>
    <w:rsid w:val="68333CF4"/>
    <w:rsid w:val="683528BC"/>
    <w:rsid w:val="68397CBD"/>
    <w:rsid w:val="683A7510"/>
    <w:rsid w:val="683D32A9"/>
    <w:rsid w:val="683E30D7"/>
    <w:rsid w:val="68582403"/>
    <w:rsid w:val="68600917"/>
    <w:rsid w:val="68603E29"/>
    <w:rsid w:val="6861575B"/>
    <w:rsid w:val="686C56BC"/>
    <w:rsid w:val="687D4613"/>
    <w:rsid w:val="688274F7"/>
    <w:rsid w:val="688E03E9"/>
    <w:rsid w:val="68963464"/>
    <w:rsid w:val="68A56C70"/>
    <w:rsid w:val="68A708A3"/>
    <w:rsid w:val="68AC29A6"/>
    <w:rsid w:val="68D22FD4"/>
    <w:rsid w:val="68D55463"/>
    <w:rsid w:val="68FF3325"/>
    <w:rsid w:val="69054C4C"/>
    <w:rsid w:val="691965E3"/>
    <w:rsid w:val="693320D0"/>
    <w:rsid w:val="69451663"/>
    <w:rsid w:val="694F68DA"/>
    <w:rsid w:val="69505907"/>
    <w:rsid w:val="69617F7B"/>
    <w:rsid w:val="69721592"/>
    <w:rsid w:val="697D7A26"/>
    <w:rsid w:val="698B0720"/>
    <w:rsid w:val="699156AE"/>
    <w:rsid w:val="6993456B"/>
    <w:rsid w:val="69937234"/>
    <w:rsid w:val="699A14B8"/>
    <w:rsid w:val="69A82622"/>
    <w:rsid w:val="69BC5768"/>
    <w:rsid w:val="69C9413A"/>
    <w:rsid w:val="69CF602A"/>
    <w:rsid w:val="69D763F0"/>
    <w:rsid w:val="69D876EE"/>
    <w:rsid w:val="69DF5832"/>
    <w:rsid w:val="69E12DD4"/>
    <w:rsid w:val="69F00E56"/>
    <w:rsid w:val="6A127C8D"/>
    <w:rsid w:val="6A185029"/>
    <w:rsid w:val="6A1F3B96"/>
    <w:rsid w:val="6A221DCA"/>
    <w:rsid w:val="6A2E6813"/>
    <w:rsid w:val="6A371AC6"/>
    <w:rsid w:val="6A38733B"/>
    <w:rsid w:val="6A3C022E"/>
    <w:rsid w:val="6A3D4E82"/>
    <w:rsid w:val="6A61649F"/>
    <w:rsid w:val="6A653F4C"/>
    <w:rsid w:val="6A670AEC"/>
    <w:rsid w:val="6A682DD1"/>
    <w:rsid w:val="6A7C6A27"/>
    <w:rsid w:val="6A7F0C7E"/>
    <w:rsid w:val="6A8C5C77"/>
    <w:rsid w:val="6AAC5435"/>
    <w:rsid w:val="6AAF0AB8"/>
    <w:rsid w:val="6AAF6C52"/>
    <w:rsid w:val="6AB34B1E"/>
    <w:rsid w:val="6AD02426"/>
    <w:rsid w:val="6AD76085"/>
    <w:rsid w:val="6ADB1DB4"/>
    <w:rsid w:val="6AE0502D"/>
    <w:rsid w:val="6AE115D0"/>
    <w:rsid w:val="6AE6019A"/>
    <w:rsid w:val="6AE97031"/>
    <w:rsid w:val="6AF117EA"/>
    <w:rsid w:val="6B086EF0"/>
    <w:rsid w:val="6B4443BA"/>
    <w:rsid w:val="6B6132FE"/>
    <w:rsid w:val="6B6D589A"/>
    <w:rsid w:val="6B723501"/>
    <w:rsid w:val="6B72653F"/>
    <w:rsid w:val="6B7B6B6E"/>
    <w:rsid w:val="6BA12159"/>
    <w:rsid w:val="6BA43CCA"/>
    <w:rsid w:val="6BAA7419"/>
    <w:rsid w:val="6BBF4861"/>
    <w:rsid w:val="6BD92A59"/>
    <w:rsid w:val="6BDA7CFF"/>
    <w:rsid w:val="6BDE5C7F"/>
    <w:rsid w:val="6BE85984"/>
    <w:rsid w:val="6BF35BBE"/>
    <w:rsid w:val="6BF819F1"/>
    <w:rsid w:val="6BFE1FA5"/>
    <w:rsid w:val="6C090B69"/>
    <w:rsid w:val="6C1E6C5C"/>
    <w:rsid w:val="6C240F7A"/>
    <w:rsid w:val="6C244257"/>
    <w:rsid w:val="6C2B24A9"/>
    <w:rsid w:val="6C2C6C2D"/>
    <w:rsid w:val="6C3B04AE"/>
    <w:rsid w:val="6C3C2DCF"/>
    <w:rsid w:val="6C3E5DED"/>
    <w:rsid w:val="6C436813"/>
    <w:rsid w:val="6C4F466D"/>
    <w:rsid w:val="6C584198"/>
    <w:rsid w:val="6C58678C"/>
    <w:rsid w:val="6C5C6966"/>
    <w:rsid w:val="6C5E0930"/>
    <w:rsid w:val="6C807021"/>
    <w:rsid w:val="6C8B77A6"/>
    <w:rsid w:val="6CAC3E0C"/>
    <w:rsid w:val="6CB44165"/>
    <w:rsid w:val="6CBA3357"/>
    <w:rsid w:val="6CBA7B30"/>
    <w:rsid w:val="6CCC5F89"/>
    <w:rsid w:val="6CEB2643"/>
    <w:rsid w:val="6CEE606C"/>
    <w:rsid w:val="6CFC5E59"/>
    <w:rsid w:val="6CFE19F7"/>
    <w:rsid w:val="6D0658CE"/>
    <w:rsid w:val="6D0C436F"/>
    <w:rsid w:val="6D13413B"/>
    <w:rsid w:val="6D195F0B"/>
    <w:rsid w:val="6D231E9C"/>
    <w:rsid w:val="6D237483"/>
    <w:rsid w:val="6D2A24D3"/>
    <w:rsid w:val="6D313994"/>
    <w:rsid w:val="6D3A47BC"/>
    <w:rsid w:val="6D45175D"/>
    <w:rsid w:val="6D5A2410"/>
    <w:rsid w:val="6D6C683D"/>
    <w:rsid w:val="6D82624F"/>
    <w:rsid w:val="6D8C5F2C"/>
    <w:rsid w:val="6D8D33B9"/>
    <w:rsid w:val="6DAA0BFC"/>
    <w:rsid w:val="6DAC2906"/>
    <w:rsid w:val="6DB12CE1"/>
    <w:rsid w:val="6DB74AA1"/>
    <w:rsid w:val="6DC00641"/>
    <w:rsid w:val="6DEE3910"/>
    <w:rsid w:val="6E000AF8"/>
    <w:rsid w:val="6E044B6D"/>
    <w:rsid w:val="6E090407"/>
    <w:rsid w:val="6E1C68A2"/>
    <w:rsid w:val="6E301D8A"/>
    <w:rsid w:val="6E3830B8"/>
    <w:rsid w:val="6E3A0CEB"/>
    <w:rsid w:val="6E4522F2"/>
    <w:rsid w:val="6E492F1A"/>
    <w:rsid w:val="6E535ED8"/>
    <w:rsid w:val="6E6C1D80"/>
    <w:rsid w:val="6E817E85"/>
    <w:rsid w:val="6E861A4B"/>
    <w:rsid w:val="6E9248C1"/>
    <w:rsid w:val="6E93126D"/>
    <w:rsid w:val="6E9428E3"/>
    <w:rsid w:val="6E9F6FDD"/>
    <w:rsid w:val="6EA93056"/>
    <w:rsid w:val="6EC108AA"/>
    <w:rsid w:val="6EC2223F"/>
    <w:rsid w:val="6ED43882"/>
    <w:rsid w:val="6ED7589C"/>
    <w:rsid w:val="6EDD263D"/>
    <w:rsid w:val="6EE7141B"/>
    <w:rsid w:val="6EF015E7"/>
    <w:rsid w:val="6EFC797E"/>
    <w:rsid w:val="6F085543"/>
    <w:rsid w:val="6F144146"/>
    <w:rsid w:val="6F1D126B"/>
    <w:rsid w:val="6F2065A1"/>
    <w:rsid w:val="6F295068"/>
    <w:rsid w:val="6F30522B"/>
    <w:rsid w:val="6F306334"/>
    <w:rsid w:val="6F6E1FC7"/>
    <w:rsid w:val="6F7908E7"/>
    <w:rsid w:val="6F8859AD"/>
    <w:rsid w:val="6F963F5E"/>
    <w:rsid w:val="6F9936A3"/>
    <w:rsid w:val="6FA32804"/>
    <w:rsid w:val="6FAD2839"/>
    <w:rsid w:val="6FCC76A7"/>
    <w:rsid w:val="6FCD2025"/>
    <w:rsid w:val="6FD12E23"/>
    <w:rsid w:val="6FD3333C"/>
    <w:rsid w:val="6FD75DC3"/>
    <w:rsid w:val="6FDA0E73"/>
    <w:rsid w:val="6FE94145"/>
    <w:rsid w:val="6FE97D64"/>
    <w:rsid w:val="6FEF562E"/>
    <w:rsid w:val="700B32D3"/>
    <w:rsid w:val="700C6021"/>
    <w:rsid w:val="701809B3"/>
    <w:rsid w:val="702920CE"/>
    <w:rsid w:val="702F3321"/>
    <w:rsid w:val="70347512"/>
    <w:rsid w:val="703A623C"/>
    <w:rsid w:val="703D13EE"/>
    <w:rsid w:val="7040034C"/>
    <w:rsid w:val="70436B19"/>
    <w:rsid w:val="705445B0"/>
    <w:rsid w:val="705B6108"/>
    <w:rsid w:val="705B771B"/>
    <w:rsid w:val="707D59E7"/>
    <w:rsid w:val="70842CFA"/>
    <w:rsid w:val="708F27D8"/>
    <w:rsid w:val="709838A3"/>
    <w:rsid w:val="70A65533"/>
    <w:rsid w:val="70AD1CAC"/>
    <w:rsid w:val="70C869C0"/>
    <w:rsid w:val="70CF5929"/>
    <w:rsid w:val="70D65964"/>
    <w:rsid w:val="70D9126D"/>
    <w:rsid w:val="70DB592D"/>
    <w:rsid w:val="70ED4E93"/>
    <w:rsid w:val="71043D9D"/>
    <w:rsid w:val="71070C27"/>
    <w:rsid w:val="710A1BC8"/>
    <w:rsid w:val="710A46DB"/>
    <w:rsid w:val="712B5BC7"/>
    <w:rsid w:val="712D3D5D"/>
    <w:rsid w:val="714062B6"/>
    <w:rsid w:val="71416518"/>
    <w:rsid w:val="71443CD6"/>
    <w:rsid w:val="71591785"/>
    <w:rsid w:val="71697A56"/>
    <w:rsid w:val="716E6E3B"/>
    <w:rsid w:val="71793B16"/>
    <w:rsid w:val="717E112C"/>
    <w:rsid w:val="718230BC"/>
    <w:rsid w:val="71877459"/>
    <w:rsid w:val="719707D5"/>
    <w:rsid w:val="71AB361D"/>
    <w:rsid w:val="71B71720"/>
    <w:rsid w:val="71DA45FF"/>
    <w:rsid w:val="71DF0F6A"/>
    <w:rsid w:val="71EC3902"/>
    <w:rsid w:val="71F85D83"/>
    <w:rsid w:val="71FB4785"/>
    <w:rsid w:val="72036400"/>
    <w:rsid w:val="72071A99"/>
    <w:rsid w:val="7209117E"/>
    <w:rsid w:val="72115C98"/>
    <w:rsid w:val="72146E0A"/>
    <w:rsid w:val="721D7A67"/>
    <w:rsid w:val="72220680"/>
    <w:rsid w:val="72712C3C"/>
    <w:rsid w:val="72760055"/>
    <w:rsid w:val="727D650F"/>
    <w:rsid w:val="72957EF4"/>
    <w:rsid w:val="729906FB"/>
    <w:rsid w:val="729E6E60"/>
    <w:rsid w:val="72AB261F"/>
    <w:rsid w:val="72AE648B"/>
    <w:rsid w:val="72B747C3"/>
    <w:rsid w:val="72BB6833"/>
    <w:rsid w:val="72D53E89"/>
    <w:rsid w:val="72DC0B25"/>
    <w:rsid w:val="72DC531A"/>
    <w:rsid w:val="72E70B72"/>
    <w:rsid w:val="72F004A2"/>
    <w:rsid w:val="730D3AE6"/>
    <w:rsid w:val="73263B94"/>
    <w:rsid w:val="732E4EBC"/>
    <w:rsid w:val="7335170E"/>
    <w:rsid w:val="73593D3E"/>
    <w:rsid w:val="737458FF"/>
    <w:rsid w:val="737D4F4E"/>
    <w:rsid w:val="737E5413"/>
    <w:rsid w:val="73885ADC"/>
    <w:rsid w:val="73967B38"/>
    <w:rsid w:val="739C4E73"/>
    <w:rsid w:val="739C7F8F"/>
    <w:rsid w:val="73BB0416"/>
    <w:rsid w:val="73BD47D4"/>
    <w:rsid w:val="73C23160"/>
    <w:rsid w:val="73DA0480"/>
    <w:rsid w:val="73E301D0"/>
    <w:rsid w:val="740306D5"/>
    <w:rsid w:val="74123760"/>
    <w:rsid w:val="742C2944"/>
    <w:rsid w:val="74480518"/>
    <w:rsid w:val="74510D7A"/>
    <w:rsid w:val="7462083F"/>
    <w:rsid w:val="746A6FFD"/>
    <w:rsid w:val="74760393"/>
    <w:rsid w:val="747B6A43"/>
    <w:rsid w:val="74840F43"/>
    <w:rsid w:val="748702F8"/>
    <w:rsid w:val="749A5E1A"/>
    <w:rsid w:val="74A55AEC"/>
    <w:rsid w:val="74A76BEC"/>
    <w:rsid w:val="74AF1E50"/>
    <w:rsid w:val="74AF6FE2"/>
    <w:rsid w:val="74C00BCC"/>
    <w:rsid w:val="74D309C9"/>
    <w:rsid w:val="74E27474"/>
    <w:rsid w:val="74E72232"/>
    <w:rsid w:val="74EF4CAE"/>
    <w:rsid w:val="74F42333"/>
    <w:rsid w:val="75072A87"/>
    <w:rsid w:val="75113C7C"/>
    <w:rsid w:val="751960A9"/>
    <w:rsid w:val="752F6C5E"/>
    <w:rsid w:val="75383263"/>
    <w:rsid w:val="755048BF"/>
    <w:rsid w:val="75510688"/>
    <w:rsid w:val="7556504A"/>
    <w:rsid w:val="755A30D3"/>
    <w:rsid w:val="75720FA8"/>
    <w:rsid w:val="757B026B"/>
    <w:rsid w:val="757C5983"/>
    <w:rsid w:val="75862FD0"/>
    <w:rsid w:val="75930F1E"/>
    <w:rsid w:val="759F5A0D"/>
    <w:rsid w:val="75A64FCB"/>
    <w:rsid w:val="75AB6D3B"/>
    <w:rsid w:val="75BE0B91"/>
    <w:rsid w:val="75C252B2"/>
    <w:rsid w:val="75D057D4"/>
    <w:rsid w:val="75ED6200"/>
    <w:rsid w:val="75F00DFC"/>
    <w:rsid w:val="7601232C"/>
    <w:rsid w:val="76094D1F"/>
    <w:rsid w:val="76111AC5"/>
    <w:rsid w:val="76133E48"/>
    <w:rsid w:val="761A1C62"/>
    <w:rsid w:val="762A1A08"/>
    <w:rsid w:val="763F4E6E"/>
    <w:rsid w:val="764C0C29"/>
    <w:rsid w:val="765E152C"/>
    <w:rsid w:val="766052A4"/>
    <w:rsid w:val="766077EE"/>
    <w:rsid w:val="76763776"/>
    <w:rsid w:val="768B1E7B"/>
    <w:rsid w:val="768F20BD"/>
    <w:rsid w:val="768F4656"/>
    <w:rsid w:val="769C1C42"/>
    <w:rsid w:val="76A43EE0"/>
    <w:rsid w:val="76BD44A5"/>
    <w:rsid w:val="76C00E7C"/>
    <w:rsid w:val="76C72460"/>
    <w:rsid w:val="76EE659F"/>
    <w:rsid w:val="77047100"/>
    <w:rsid w:val="77055375"/>
    <w:rsid w:val="771167BE"/>
    <w:rsid w:val="771B11CB"/>
    <w:rsid w:val="7730131F"/>
    <w:rsid w:val="7733087F"/>
    <w:rsid w:val="77356731"/>
    <w:rsid w:val="773B361B"/>
    <w:rsid w:val="77530949"/>
    <w:rsid w:val="77546B4F"/>
    <w:rsid w:val="778C3E77"/>
    <w:rsid w:val="77944BDF"/>
    <w:rsid w:val="7798104C"/>
    <w:rsid w:val="77AC62A9"/>
    <w:rsid w:val="77B247C0"/>
    <w:rsid w:val="77B829E7"/>
    <w:rsid w:val="77B84C6C"/>
    <w:rsid w:val="77BB7D8E"/>
    <w:rsid w:val="77F37FFE"/>
    <w:rsid w:val="77F74F6D"/>
    <w:rsid w:val="77FA5204"/>
    <w:rsid w:val="780F7982"/>
    <w:rsid w:val="78146F2E"/>
    <w:rsid w:val="78180BFC"/>
    <w:rsid w:val="781A4CC3"/>
    <w:rsid w:val="781C5F84"/>
    <w:rsid w:val="783E33C3"/>
    <w:rsid w:val="784E1F2B"/>
    <w:rsid w:val="78542F94"/>
    <w:rsid w:val="786372CE"/>
    <w:rsid w:val="78692ED2"/>
    <w:rsid w:val="7877610C"/>
    <w:rsid w:val="787845F7"/>
    <w:rsid w:val="78864FCF"/>
    <w:rsid w:val="78A6683E"/>
    <w:rsid w:val="78A76067"/>
    <w:rsid w:val="78AA049C"/>
    <w:rsid w:val="78AE64A3"/>
    <w:rsid w:val="78EB5425"/>
    <w:rsid w:val="79156FC5"/>
    <w:rsid w:val="791C0C85"/>
    <w:rsid w:val="791D2D75"/>
    <w:rsid w:val="79262ED0"/>
    <w:rsid w:val="794762A8"/>
    <w:rsid w:val="794A3A1D"/>
    <w:rsid w:val="794F5367"/>
    <w:rsid w:val="796F0AC1"/>
    <w:rsid w:val="797C7240"/>
    <w:rsid w:val="79903C10"/>
    <w:rsid w:val="79B7267B"/>
    <w:rsid w:val="79BC0A44"/>
    <w:rsid w:val="79D3731B"/>
    <w:rsid w:val="79E83D93"/>
    <w:rsid w:val="79F01E68"/>
    <w:rsid w:val="7A0E6DD1"/>
    <w:rsid w:val="7A0F6A9B"/>
    <w:rsid w:val="7A0F79A7"/>
    <w:rsid w:val="7A1271CD"/>
    <w:rsid w:val="7A1D2DA0"/>
    <w:rsid w:val="7A2111EE"/>
    <w:rsid w:val="7A2B306F"/>
    <w:rsid w:val="7A540BFA"/>
    <w:rsid w:val="7A63535A"/>
    <w:rsid w:val="7A6A3232"/>
    <w:rsid w:val="7A705A11"/>
    <w:rsid w:val="7A710AAF"/>
    <w:rsid w:val="7A721A4A"/>
    <w:rsid w:val="7A7E2BD6"/>
    <w:rsid w:val="7A893449"/>
    <w:rsid w:val="7A9C59C6"/>
    <w:rsid w:val="7AAA6359"/>
    <w:rsid w:val="7AB07B50"/>
    <w:rsid w:val="7AB4796D"/>
    <w:rsid w:val="7AC51B7A"/>
    <w:rsid w:val="7AC97850"/>
    <w:rsid w:val="7ADC7A1F"/>
    <w:rsid w:val="7AF86D86"/>
    <w:rsid w:val="7B075C04"/>
    <w:rsid w:val="7B173BDB"/>
    <w:rsid w:val="7B255A4C"/>
    <w:rsid w:val="7B351E30"/>
    <w:rsid w:val="7B364D12"/>
    <w:rsid w:val="7B4B1425"/>
    <w:rsid w:val="7B5A2377"/>
    <w:rsid w:val="7B5B0730"/>
    <w:rsid w:val="7B692672"/>
    <w:rsid w:val="7B706597"/>
    <w:rsid w:val="7B7326E6"/>
    <w:rsid w:val="7B7916A2"/>
    <w:rsid w:val="7B7F61CD"/>
    <w:rsid w:val="7B952550"/>
    <w:rsid w:val="7B996477"/>
    <w:rsid w:val="7B9D6653"/>
    <w:rsid w:val="7BA3346A"/>
    <w:rsid w:val="7BB03E0C"/>
    <w:rsid w:val="7BB82A78"/>
    <w:rsid w:val="7BB97A80"/>
    <w:rsid w:val="7BC02843"/>
    <w:rsid w:val="7BC31AD7"/>
    <w:rsid w:val="7BC329AE"/>
    <w:rsid w:val="7BC71B24"/>
    <w:rsid w:val="7BCD73D9"/>
    <w:rsid w:val="7BD242D8"/>
    <w:rsid w:val="7BF81460"/>
    <w:rsid w:val="7BFE56CE"/>
    <w:rsid w:val="7C0B1097"/>
    <w:rsid w:val="7C231C10"/>
    <w:rsid w:val="7C372A06"/>
    <w:rsid w:val="7C512812"/>
    <w:rsid w:val="7C52743D"/>
    <w:rsid w:val="7C574C01"/>
    <w:rsid w:val="7C7A0D33"/>
    <w:rsid w:val="7C8E6DF7"/>
    <w:rsid w:val="7C906849"/>
    <w:rsid w:val="7C917B85"/>
    <w:rsid w:val="7CB17F1C"/>
    <w:rsid w:val="7CB64512"/>
    <w:rsid w:val="7CF17122"/>
    <w:rsid w:val="7CF21A8F"/>
    <w:rsid w:val="7CF80597"/>
    <w:rsid w:val="7CFA4E48"/>
    <w:rsid w:val="7CFA64F2"/>
    <w:rsid w:val="7D143B1A"/>
    <w:rsid w:val="7D1C6005"/>
    <w:rsid w:val="7D1F5A2C"/>
    <w:rsid w:val="7D2B5254"/>
    <w:rsid w:val="7D2D1CF2"/>
    <w:rsid w:val="7D3B105A"/>
    <w:rsid w:val="7D550D15"/>
    <w:rsid w:val="7D614C58"/>
    <w:rsid w:val="7D634109"/>
    <w:rsid w:val="7D640BBF"/>
    <w:rsid w:val="7D703422"/>
    <w:rsid w:val="7D72593C"/>
    <w:rsid w:val="7D767A35"/>
    <w:rsid w:val="7D801F6E"/>
    <w:rsid w:val="7D881FEE"/>
    <w:rsid w:val="7D923715"/>
    <w:rsid w:val="7D94023E"/>
    <w:rsid w:val="7D965D22"/>
    <w:rsid w:val="7D9B733D"/>
    <w:rsid w:val="7DAE505A"/>
    <w:rsid w:val="7DAF3C6C"/>
    <w:rsid w:val="7DAF4942"/>
    <w:rsid w:val="7DBA1731"/>
    <w:rsid w:val="7DBE7E83"/>
    <w:rsid w:val="7DC266CD"/>
    <w:rsid w:val="7DCA3E93"/>
    <w:rsid w:val="7DCE172C"/>
    <w:rsid w:val="7DE50D66"/>
    <w:rsid w:val="7DEA5FF0"/>
    <w:rsid w:val="7DF62A88"/>
    <w:rsid w:val="7E0D1C48"/>
    <w:rsid w:val="7E131585"/>
    <w:rsid w:val="7E1C7D03"/>
    <w:rsid w:val="7E235190"/>
    <w:rsid w:val="7E265B1D"/>
    <w:rsid w:val="7E2858EE"/>
    <w:rsid w:val="7E2928C7"/>
    <w:rsid w:val="7E2D352C"/>
    <w:rsid w:val="7E2D4FC5"/>
    <w:rsid w:val="7E413C0D"/>
    <w:rsid w:val="7E4877CC"/>
    <w:rsid w:val="7E641ED7"/>
    <w:rsid w:val="7E7408C8"/>
    <w:rsid w:val="7E745AA3"/>
    <w:rsid w:val="7E766288"/>
    <w:rsid w:val="7E856A77"/>
    <w:rsid w:val="7E875417"/>
    <w:rsid w:val="7E922F18"/>
    <w:rsid w:val="7E940BC6"/>
    <w:rsid w:val="7E993326"/>
    <w:rsid w:val="7E9A2F76"/>
    <w:rsid w:val="7EA73768"/>
    <w:rsid w:val="7EA91E07"/>
    <w:rsid w:val="7EAD51DF"/>
    <w:rsid w:val="7EC83DB9"/>
    <w:rsid w:val="7ED40A17"/>
    <w:rsid w:val="7ED57052"/>
    <w:rsid w:val="7ED756F6"/>
    <w:rsid w:val="7EEB3090"/>
    <w:rsid w:val="7EF61642"/>
    <w:rsid w:val="7EFA085D"/>
    <w:rsid w:val="7F00584E"/>
    <w:rsid w:val="7F1422D8"/>
    <w:rsid w:val="7F1D52F2"/>
    <w:rsid w:val="7F2B713B"/>
    <w:rsid w:val="7F354F5B"/>
    <w:rsid w:val="7F3D4EC7"/>
    <w:rsid w:val="7F410B84"/>
    <w:rsid w:val="7F4F1DC8"/>
    <w:rsid w:val="7F5F3085"/>
    <w:rsid w:val="7F5F6F60"/>
    <w:rsid w:val="7F657DC7"/>
    <w:rsid w:val="7F671FF2"/>
    <w:rsid w:val="7F702109"/>
    <w:rsid w:val="7F750ACB"/>
    <w:rsid w:val="7F7E1021"/>
    <w:rsid w:val="7F932247"/>
    <w:rsid w:val="7F9955B4"/>
    <w:rsid w:val="7FAC79E3"/>
    <w:rsid w:val="7FB248C5"/>
    <w:rsid w:val="7FC31FD7"/>
    <w:rsid w:val="7FC6607F"/>
    <w:rsid w:val="7FDE7019"/>
    <w:rsid w:val="7FEF6698"/>
    <w:rsid w:val="7FF01447"/>
    <w:rsid w:val="7FFB51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outlineLvl w:val="1"/>
    </w:pPr>
    <w:rPr>
      <w:sz w:val="28"/>
    </w:rPr>
  </w:style>
  <w:style w:type="paragraph" w:styleId="5">
    <w:name w:val="heading 3"/>
    <w:basedOn w:val="1"/>
    <w:next w:val="1"/>
    <w:autoRedefine/>
    <w:qFormat/>
    <w:uiPriority w:val="0"/>
    <w:pPr>
      <w:keepNext/>
      <w:keepLines/>
      <w:spacing w:before="260" w:after="260" w:line="413" w:lineRule="auto"/>
      <w:outlineLvl w:val="2"/>
    </w:pPr>
    <w:rPr>
      <w:b/>
      <w:sz w:val="32"/>
    </w:rPr>
  </w:style>
  <w:style w:type="paragraph" w:styleId="6">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1"/>
    <w:autoRedefine/>
    <w:qFormat/>
    <w:uiPriority w:val="0"/>
    <w:pPr>
      <w:keepNext/>
      <w:keepLines/>
      <w:spacing w:before="280" w:after="290" w:line="372" w:lineRule="auto"/>
      <w:outlineLvl w:val="4"/>
    </w:pPr>
    <w:rPr>
      <w:b/>
      <w:sz w:val="28"/>
    </w:rPr>
  </w:style>
  <w:style w:type="paragraph" w:styleId="8">
    <w:name w:val="heading 6"/>
    <w:basedOn w:val="1"/>
    <w:next w:val="1"/>
    <w:autoRedefine/>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autoRedefine/>
    <w:qFormat/>
    <w:uiPriority w:val="0"/>
    <w:pPr>
      <w:keepNext/>
      <w:keepLines/>
      <w:spacing w:before="240" w:after="64" w:line="317" w:lineRule="auto"/>
      <w:outlineLvl w:val="6"/>
    </w:pPr>
    <w:rPr>
      <w:b/>
      <w:sz w:val="24"/>
    </w:rPr>
  </w:style>
  <w:style w:type="paragraph" w:styleId="10">
    <w:name w:val="heading 8"/>
    <w:basedOn w:val="1"/>
    <w:next w:val="1"/>
    <w:autoRedefine/>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1"/>
    <w:autoRedefine/>
    <w:qFormat/>
    <w:uiPriority w:val="0"/>
    <w:pPr>
      <w:keepNext/>
      <w:keepLines/>
      <w:spacing w:before="240" w:after="64" w:line="317" w:lineRule="auto"/>
      <w:outlineLvl w:val="8"/>
    </w:pPr>
    <w:rPr>
      <w:rFonts w:ascii="Arial" w:hAnsi="Arial" w:eastAsia="黑体"/>
    </w:rPr>
  </w:style>
  <w:style w:type="character" w:default="1" w:styleId="90">
    <w:name w:val="Default Paragraph Font"/>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qFormat/>
    <w:uiPriority w:val="0"/>
    <w:pPr>
      <w:ind w:left="2520" w:leftChars="1200"/>
    </w:pPr>
  </w:style>
  <w:style w:type="paragraph" w:styleId="14">
    <w:name w:val="List Number 2"/>
    <w:basedOn w:val="1"/>
    <w:autoRedefine/>
    <w:qFormat/>
    <w:uiPriority w:val="0"/>
    <w:pPr>
      <w:tabs>
        <w:tab w:val="left" w:pos="780"/>
      </w:tabs>
      <w:ind w:left="780" w:hanging="360"/>
    </w:pPr>
  </w:style>
  <w:style w:type="paragraph" w:styleId="15">
    <w:name w:val="table of authorities"/>
    <w:basedOn w:val="1"/>
    <w:next w:val="1"/>
    <w:autoRedefine/>
    <w:qFormat/>
    <w:uiPriority w:val="0"/>
    <w:pPr>
      <w:ind w:left="420" w:leftChars="200"/>
    </w:pPr>
  </w:style>
  <w:style w:type="paragraph" w:styleId="16">
    <w:name w:val="Note Heading"/>
    <w:basedOn w:val="1"/>
    <w:next w:val="1"/>
    <w:autoRedefine/>
    <w:qFormat/>
    <w:uiPriority w:val="0"/>
    <w:pPr>
      <w:jc w:val="center"/>
    </w:pPr>
  </w:style>
  <w:style w:type="paragraph" w:styleId="17">
    <w:name w:val="List Bullet 4"/>
    <w:basedOn w:val="1"/>
    <w:autoRedefine/>
    <w:qFormat/>
    <w:uiPriority w:val="0"/>
    <w:pPr>
      <w:tabs>
        <w:tab w:val="left" w:pos="1620"/>
      </w:tabs>
      <w:ind w:left="1620" w:hanging="360"/>
    </w:pPr>
  </w:style>
  <w:style w:type="paragraph" w:styleId="18">
    <w:name w:val="index 8"/>
    <w:basedOn w:val="1"/>
    <w:next w:val="1"/>
    <w:autoRedefine/>
    <w:qFormat/>
    <w:uiPriority w:val="0"/>
    <w:pPr>
      <w:ind w:left="1400" w:leftChars="1400"/>
    </w:pPr>
  </w:style>
  <w:style w:type="paragraph" w:styleId="19">
    <w:name w:val="E-mail Signature"/>
    <w:basedOn w:val="1"/>
    <w:autoRedefine/>
    <w:qFormat/>
    <w:uiPriority w:val="0"/>
  </w:style>
  <w:style w:type="paragraph" w:styleId="20">
    <w:name w:val="List Number"/>
    <w:basedOn w:val="1"/>
    <w:autoRedefine/>
    <w:qFormat/>
    <w:uiPriority w:val="0"/>
    <w:pPr>
      <w:tabs>
        <w:tab w:val="left" w:pos="360"/>
      </w:tabs>
      <w:ind w:left="360" w:hanging="360"/>
    </w:pPr>
  </w:style>
  <w:style w:type="paragraph" w:styleId="21">
    <w:name w:val="Normal Indent"/>
    <w:basedOn w:val="1"/>
    <w:autoRedefine/>
    <w:qFormat/>
    <w:uiPriority w:val="0"/>
    <w:pPr>
      <w:ind w:firstLine="420" w:firstLineChars="200"/>
    </w:pPr>
  </w:style>
  <w:style w:type="paragraph" w:styleId="22">
    <w:name w:val="caption"/>
    <w:basedOn w:val="1"/>
    <w:next w:val="1"/>
    <w:autoRedefine/>
    <w:qFormat/>
    <w:uiPriority w:val="0"/>
    <w:rPr>
      <w:rFonts w:ascii="Arial" w:hAnsi="Arial" w:eastAsia="黑体"/>
      <w:sz w:val="20"/>
    </w:rPr>
  </w:style>
  <w:style w:type="paragraph" w:styleId="23">
    <w:name w:val="index 5"/>
    <w:basedOn w:val="1"/>
    <w:next w:val="1"/>
    <w:autoRedefine/>
    <w:qFormat/>
    <w:uiPriority w:val="0"/>
    <w:pPr>
      <w:ind w:left="800" w:leftChars="800"/>
    </w:pPr>
  </w:style>
  <w:style w:type="paragraph" w:styleId="24">
    <w:name w:val="List Bullet"/>
    <w:basedOn w:val="1"/>
    <w:autoRedefine/>
    <w:qFormat/>
    <w:uiPriority w:val="0"/>
    <w:pPr>
      <w:tabs>
        <w:tab w:val="left" w:pos="360"/>
      </w:tabs>
      <w:ind w:left="360" w:hanging="360"/>
    </w:pPr>
  </w:style>
  <w:style w:type="paragraph" w:styleId="25">
    <w:name w:val="envelope address"/>
    <w:basedOn w:val="1"/>
    <w:autoRedefine/>
    <w:qFormat/>
    <w:uiPriority w:val="0"/>
    <w:pPr>
      <w:snapToGrid w:val="0"/>
      <w:ind w:left="100" w:leftChars="1400"/>
    </w:pPr>
    <w:rPr>
      <w:rFonts w:ascii="Arial" w:hAnsi="Arial"/>
      <w:sz w:val="24"/>
    </w:rPr>
  </w:style>
  <w:style w:type="paragraph" w:styleId="26">
    <w:name w:val="Document Map"/>
    <w:basedOn w:val="1"/>
    <w:autoRedefine/>
    <w:qFormat/>
    <w:uiPriority w:val="0"/>
    <w:pPr>
      <w:shd w:val="clear" w:color="auto" w:fill="000080"/>
    </w:pPr>
  </w:style>
  <w:style w:type="paragraph" w:styleId="27">
    <w:name w:val="toa heading"/>
    <w:basedOn w:val="1"/>
    <w:next w:val="1"/>
    <w:autoRedefine/>
    <w:qFormat/>
    <w:uiPriority w:val="0"/>
    <w:pPr>
      <w:spacing w:before="120"/>
    </w:pPr>
    <w:rPr>
      <w:rFonts w:ascii="Arial" w:hAnsi="Arial"/>
      <w:sz w:val="24"/>
    </w:rPr>
  </w:style>
  <w:style w:type="paragraph" w:styleId="28">
    <w:name w:val="annotation text"/>
    <w:basedOn w:val="1"/>
    <w:autoRedefine/>
    <w:qFormat/>
    <w:uiPriority w:val="0"/>
    <w:pPr>
      <w:jc w:val="left"/>
    </w:pPr>
  </w:style>
  <w:style w:type="paragraph" w:styleId="29">
    <w:name w:val="index 6"/>
    <w:basedOn w:val="1"/>
    <w:next w:val="1"/>
    <w:autoRedefine/>
    <w:qFormat/>
    <w:uiPriority w:val="0"/>
    <w:pPr>
      <w:ind w:left="1000" w:leftChars="1000"/>
    </w:pPr>
  </w:style>
  <w:style w:type="paragraph" w:styleId="30">
    <w:name w:val="Salutation"/>
    <w:basedOn w:val="1"/>
    <w:next w:val="1"/>
    <w:autoRedefine/>
    <w:qFormat/>
    <w:uiPriority w:val="0"/>
  </w:style>
  <w:style w:type="paragraph" w:styleId="31">
    <w:name w:val="Body Text 3"/>
    <w:basedOn w:val="1"/>
    <w:autoRedefine/>
    <w:qFormat/>
    <w:uiPriority w:val="0"/>
    <w:pPr>
      <w:spacing w:after="120"/>
    </w:pPr>
    <w:rPr>
      <w:sz w:val="16"/>
    </w:rPr>
  </w:style>
  <w:style w:type="paragraph" w:styleId="32">
    <w:name w:val="Closing"/>
    <w:basedOn w:val="1"/>
    <w:autoRedefine/>
    <w:qFormat/>
    <w:uiPriority w:val="0"/>
    <w:pPr>
      <w:ind w:left="100" w:leftChars="2100"/>
    </w:pPr>
  </w:style>
  <w:style w:type="paragraph" w:styleId="33">
    <w:name w:val="List Bullet 3"/>
    <w:basedOn w:val="1"/>
    <w:autoRedefine/>
    <w:qFormat/>
    <w:uiPriority w:val="0"/>
    <w:pPr>
      <w:tabs>
        <w:tab w:val="left" w:pos="1200"/>
      </w:tabs>
      <w:ind w:left="1200" w:hanging="360"/>
    </w:pPr>
  </w:style>
  <w:style w:type="paragraph" w:styleId="34">
    <w:name w:val="Body Text"/>
    <w:basedOn w:val="1"/>
    <w:autoRedefine/>
    <w:qFormat/>
    <w:uiPriority w:val="0"/>
    <w:pPr>
      <w:spacing w:after="120"/>
    </w:pPr>
  </w:style>
  <w:style w:type="paragraph" w:styleId="35">
    <w:name w:val="Body Text Indent"/>
    <w:basedOn w:val="1"/>
    <w:autoRedefine/>
    <w:qFormat/>
    <w:uiPriority w:val="0"/>
    <w:pPr>
      <w:spacing w:after="120"/>
      <w:ind w:left="420" w:leftChars="200"/>
    </w:pPr>
  </w:style>
  <w:style w:type="paragraph" w:styleId="36">
    <w:name w:val="List Number 3"/>
    <w:basedOn w:val="1"/>
    <w:autoRedefine/>
    <w:qFormat/>
    <w:uiPriority w:val="0"/>
    <w:pPr>
      <w:tabs>
        <w:tab w:val="left" w:pos="1200"/>
      </w:tabs>
      <w:ind w:left="1200" w:hanging="360"/>
    </w:pPr>
  </w:style>
  <w:style w:type="paragraph" w:styleId="37">
    <w:name w:val="List 2"/>
    <w:basedOn w:val="1"/>
    <w:autoRedefine/>
    <w:qFormat/>
    <w:uiPriority w:val="0"/>
    <w:pPr>
      <w:ind w:left="100" w:leftChars="200" w:hanging="200" w:hangingChars="200"/>
    </w:pPr>
  </w:style>
  <w:style w:type="paragraph" w:styleId="38">
    <w:name w:val="List Continue"/>
    <w:basedOn w:val="1"/>
    <w:autoRedefine/>
    <w:qFormat/>
    <w:uiPriority w:val="0"/>
    <w:pPr>
      <w:spacing w:after="120"/>
      <w:ind w:left="420" w:leftChars="200"/>
    </w:pPr>
  </w:style>
  <w:style w:type="paragraph" w:styleId="39">
    <w:name w:val="Block Text"/>
    <w:basedOn w:val="1"/>
    <w:autoRedefine/>
    <w:qFormat/>
    <w:uiPriority w:val="0"/>
    <w:pPr>
      <w:spacing w:after="120"/>
      <w:ind w:left="1440" w:leftChars="700" w:right="700" w:rightChars="700"/>
    </w:pPr>
  </w:style>
  <w:style w:type="paragraph" w:styleId="40">
    <w:name w:val="List Bullet 2"/>
    <w:basedOn w:val="1"/>
    <w:autoRedefine/>
    <w:qFormat/>
    <w:uiPriority w:val="0"/>
    <w:pPr>
      <w:tabs>
        <w:tab w:val="left" w:pos="780"/>
      </w:tabs>
      <w:ind w:left="780" w:hanging="360"/>
    </w:pPr>
  </w:style>
  <w:style w:type="paragraph" w:styleId="41">
    <w:name w:val="HTML Address"/>
    <w:basedOn w:val="1"/>
    <w:autoRedefine/>
    <w:qFormat/>
    <w:uiPriority w:val="0"/>
    <w:rPr>
      <w:i/>
    </w:rPr>
  </w:style>
  <w:style w:type="paragraph" w:styleId="42">
    <w:name w:val="index 4"/>
    <w:basedOn w:val="1"/>
    <w:next w:val="1"/>
    <w:autoRedefine/>
    <w:qFormat/>
    <w:uiPriority w:val="0"/>
    <w:pPr>
      <w:ind w:left="600" w:leftChars="600"/>
    </w:pPr>
  </w:style>
  <w:style w:type="paragraph" w:styleId="43">
    <w:name w:val="toc 5"/>
    <w:basedOn w:val="1"/>
    <w:next w:val="1"/>
    <w:autoRedefine/>
    <w:qFormat/>
    <w:uiPriority w:val="0"/>
    <w:pPr>
      <w:ind w:left="1680" w:leftChars="800"/>
    </w:pPr>
  </w:style>
  <w:style w:type="paragraph" w:styleId="44">
    <w:name w:val="toc 3"/>
    <w:basedOn w:val="1"/>
    <w:next w:val="1"/>
    <w:autoRedefine/>
    <w:qFormat/>
    <w:uiPriority w:val="0"/>
    <w:pPr>
      <w:ind w:left="840" w:leftChars="400"/>
    </w:pPr>
  </w:style>
  <w:style w:type="paragraph" w:styleId="45">
    <w:name w:val="Plain Text"/>
    <w:basedOn w:val="1"/>
    <w:autoRedefine/>
    <w:qFormat/>
    <w:uiPriority w:val="0"/>
    <w:rPr>
      <w:rFonts w:ascii="宋体" w:hAnsi="Courier New"/>
    </w:rPr>
  </w:style>
  <w:style w:type="paragraph" w:styleId="46">
    <w:name w:val="List Bullet 5"/>
    <w:basedOn w:val="1"/>
    <w:autoRedefine/>
    <w:qFormat/>
    <w:uiPriority w:val="0"/>
    <w:pPr>
      <w:tabs>
        <w:tab w:val="left" w:pos="2040"/>
      </w:tabs>
      <w:ind w:left="2040" w:hanging="360"/>
    </w:pPr>
  </w:style>
  <w:style w:type="paragraph" w:styleId="47">
    <w:name w:val="List Number 4"/>
    <w:basedOn w:val="1"/>
    <w:autoRedefine/>
    <w:qFormat/>
    <w:uiPriority w:val="0"/>
    <w:pPr>
      <w:tabs>
        <w:tab w:val="left" w:pos="1620"/>
      </w:tabs>
      <w:ind w:left="1620" w:hanging="360"/>
    </w:pPr>
  </w:style>
  <w:style w:type="paragraph" w:styleId="48">
    <w:name w:val="toc 8"/>
    <w:basedOn w:val="1"/>
    <w:next w:val="1"/>
    <w:autoRedefine/>
    <w:qFormat/>
    <w:uiPriority w:val="0"/>
    <w:pPr>
      <w:ind w:left="2940" w:leftChars="1400"/>
    </w:pPr>
  </w:style>
  <w:style w:type="paragraph" w:styleId="49">
    <w:name w:val="index 3"/>
    <w:basedOn w:val="1"/>
    <w:next w:val="1"/>
    <w:autoRedefine/>
    <w:qFormat/>
    <w:uiPriority w:val="0"/>
    <w:pPr>
      <w:ind w:left="400" w:leftChars="400"/>
    </w:pPr>
  </w:style>
  <w:style w:type="paragraph" w:styleId="50">
    <w:name w:val="Date"/>
    <w:basedOn w:val="1"/>
    <w:next w:val="1"/>
    <w:autoRedefine/>
    <w:qFormat/>
    <w:uiPriority w:val="0"/>
    <w:pPr>
      <w:ind w:left="100" w:leftChars="2500"/>
    </w:pPr>
  </w:style>
  <w:style w:type="paragraph" w:styleId="51">
    <w:name w:val="Body Text Indent 2"/>
    <w:basedOn w:val="1"/>
    <w:autoRedefine/>
    <w:qFormat/>
    <w:uiPriority w:val="0"/>
    <w:pPr>
      <w:spacing w:after="120" w:line="480" w:lineRule="auto"/>
      <w:ind w:left="420" w:leftChars="200"/>
    </w:pPr>
  </w:style>
  <w:style w:type="paragraph" w:styleId="52">
    <w:name w:val="endnote text"/>
    <w:basedOn w:val="1"/>
    <w:autoRedefine/>
    <w:qFormat/>
    <w:uiPriority w:val="0"/>
    <w:pPr>
      <w:snapToGrid w:val="0"/>
      <w:jc w:val="left"/>
    </w:pPr>
  </w:style>
  <w:style w:type="paragraph" w:styleId="53">
    <w:name w:val="List Continue 5"/>
    <w:basedOn w:val="1"/>
    <w:autoRedefine/>
    <w:qFormat/>
    <w:uiPriority w:val="0"/>
    <w:pPr>
      <w:spacing w:after="120"/>
      <w:ind w:left="2100" w:leftChars="1000"/>
    </w:pPr>
  </w:style>
  <w:style w:type="paragraph" w:styleId="54">
    <w:name w:val="Balloon Text"/>
    <w:basedOn w:val="1"/>
    <w:autoRedefine/>
    <w:qFormat/>
    <w:uiPriority w:val="0"/>
    <w:rPr>
      <w:sz w:val="18"/>
    </w:rPr>
  </w:style>
  <w:style w:type="paragraph" w:styleId="55">
    <w:name w:val="footer"/>
    <w:basedOn w:val="1"/>
    <w:autoRedefine/>
    <w:qFormat/>
    <w:uiPriority w:val="0"/>
    <w:pPr>
      <w:tabs>
        <w:tab w:val="center" w:pos="4153"/>
        <w:tab w:val="right" w:pos="8306"/>
      </w:tabs>
      <w:snapToGrid w:val="0"/>
      <w:jc w:val="left"/>
    </w:pPr>
    <w:rPr>
      <w:sz w:val="18"/>
    </w:rPr>
  </w:style>
  <w:style w:type="paragraph" w:styleId="56">
    <w:name w:val="envelope return"/>
    <w:basedOn w:val="1"/>
    <w:autoRedefine/>
    <w:qFormat/>
    <w:uiPriority w:val="0"/>
    <w:pPr>
      <w:snapToGrid w:val="0"/>
    </w:pPr>
    <w:rPr>
      <w:rFonts w:ascii="Arial" w:hAnsi="Arial"/>
    </w:rPr>
  </w:style>
  <w:style w:type="paragraph" w:styleId="57">
    <w:name w:val="header"/>
    <w:basedOn w:val="1"/>
    <w:link w:val="96"/>
    <w:autoRedefine/>
    <w:qFormat/>
    <w:uiPriority w:val="0"/>
    <w:pPr>
      <w:pBdr>
        <w:bottom w:val="single" w:color="auto" w:sz="6" w:space="1"/>
      </w:pBdr>
      <w:tabs>
        <w:tab w:val="center" w:pos="4153"/>
        <w:tab w:val="right" w:pos="8306"/>
      </w:tabs>
      <w:snapToGrid w:val="0"/>
      <w:jc w:val="center"/>
    </w:pPr>
    <w:rPr>
      <w:rFonts w:ascii="Calibri" w:hAnsi="Calibri"/>
      <w:sz w:val="18"/>
    </w:rPr>
  </w:style>
  <w:style w:type="paragraph" w:styleId="58">
    <w:name w:val="Signature"/>
    <w:basedOn w:val="1"/>
    <w:autoRedefine/>
    <w:qFormat/>
    <w:uiPriority w:val="0"/>
    <w:pPr>
      <w:ind w:left="100" w:leftChars="2100"/>
    </w:pPr>
  </w:style>
  <w:style w:type="paragraph" w:styleId="59">
    <w:name w:val="toc 1"/>
    <w:basedOn w:val="1"/>
    <w:next w:val="1"/>
    <w:autoRedefine/>
    <w:qFormat/>
    <w:uiPriority w:val="0"/>
  </w:style>
  <w:style w:type="paragraph" w:styleId="60">
    <w:name w:val="List Continue 4"/>
    <w:basedOn w:val="1"/>
    <w:autoRedefine/>
    <w:qFormat/>
    <w:uiPriority w:val="0"/>
    <w:pPr>
      <w:spacing w:after="120"/>
      <w:ind w:left="1680" w:leftChars="800"/>
    </w:pPr>
  </w:style>
  <w:style w:type="paragraph" w:styleId="61">
    <w:name w:val="toc 4"/>
    <w:basedOn w:val="1"/>
    <w:next w:val="1"/>
    <w:autoRedefine/>
    <w:qFormat/>
    <w:uiPriority w:val="0"/>
    <w:pPr>
      <w:ind w:left="1260" w:leftChars="600"/>
    </w:pPr>
  </w:style>
  <w:style w:type="paragraph" w:styleId="62">
    <w:name w:val="index heading"/>
    <w:basedOn w:val="1"/>
    <w:next w:val="63"/>
    <w:autoRedefine/>
    <w:qFormat/>
    <w:uiPriority w:val="0"/>
    <w:rPr>
      <w:rFonts w:ascii="Arial" w:hAnsi="Arial"/>
      <w:b/>
    </w:rPr>
  </w:style>
  <w:style w:type="paragraph" w:styleId="63">
    <w:name w:val="index 1"/>
    <w:basedOn w:val="1"/>
    <w:next w:val="1"/>
    <w:autoRedefine/>
    <w:qFormat/>
    <w:uiPriority w:val="0"/>
  </w:style>
  <w:style w:type="paragraph" w:styleId="64">
    <w:name w:val="Subtitle"/>
    <w:basedOn w:val="1"/>
    <w:autoRedefine/>
    <w:qFormat/>
    <w:uiPriority w:val="0"/>
    <w:pPr>
      <w:spacing w:before="240" w:after="60" w:line="312" w:lineRule="auto"/>
      <w:jc w:val="center"/>
      <w:outlineLvl w:val="1"/>
    </w:pPr>
    <w:rPr>
      <w:rFonts w:ascii="Arial" w:hAnsi="Arial"/>
      <w:b/>
      <w:kern w:val="28"/>
      <w:sz w:val="32"/>
    </w:rPr>
  </w:style>
  <w:style w:type="paragraph" w:styleId="65">
    <w:name w:val="List Number 5"/>
    <w:basedOn w:val="1"/>
    <w:autoRedefine/>
    <w:qFormat/>
    <w:uiPriority w:val="0"/>
    <w:pPr>
      <w:tabs>
        <w:tab w:val="left" w:pos="2040"/>
      </w:tabs>
      <w:ind w:left="2040" w:hanging="360"/>
    </w:pPr>
  </w:style>
  <w:style w:type="paragraph" w:styleId="66">
    <w:name w:val="List"/>
    <w:basedOn w:val="1"/>
    <w:autoRedefine/>
    <w:qFormat/>
    <w:uiPriority w:val="0"/>
    <w:pPr>
      <w:ind w:left="200" w:hanging="200" w:hangingChars="200"/>
    </w:pPr>
  </w:style>
  <w:style w:type="paragraph" w:styleId="67">
    <w:name w:val="footnote text"/>
    <w:basedOn w:val="1"/>
    <w:autoRedefine/>
    <w:qFormat/>
    <w:uiPriority w:val="0"/>
    <w:pPr>
      <w:snapToGrid w:val="0"/>
      <w:jc w:val="left"/>
    </w:pPr>
    <w:rPr>
      <w:sz w:val="18"/>
    </w:rPr>
  </w:style>
  <w:style w:type="paragraph" w:styleId="68">
    <w:name w:val="toc 6"/>
    <w:basedOn w:val="1"/>
    <w:next w:val="1"/>
    <w:autoRedefine/>
    <w:qFormat/>
    <w:uiPriority w:val="0"/>
    <w:pPr>
      <w:ind w:left="2100" w:leftChars="1000"/>
    </w:pPr>
  </w:style>
  <w:style w:type="paragraph" w:styleId="69">
    <w:name w:val="List 5"/>
    <w:basedOn w:val="1"/>
    <w:autoRedefine/>
    <w:qFormat/>
    <w:uiPriority w:val="0"/>
    <w:pPr>
      <w:ind w:left="100" w:leftChars="800" w:hanging="200" w:hangingChars="200"/>
    </w:pPr>
  </w:style>
  <w:style w:type="paragraph" w:styleId="70">
    <w:name w:val="Body Text Indent 3"/>
    <w:basedOn w:val="1"/>
    <w:autoRedefine/>
    <w:qFormat/>
    <w:uiPriority w:val="0"/>
    <w:pPr>
      <w:spacing w:line="300" w:lineRule="auto"/>
      <w:ind w:firstLine="480" w:firstLineChars="200"/>
    </w:pPr>
    <w:rPr>
      <w:sz w:val="24"/>
    </w:rPr>
  </w:style>
  <w:style w:type="paragraph" w:styleId="71">
    <w:name w:val="index 7"/>
    <w:basedOn w:val="1"/>
    <w:next w:val="1"/>
    <w:autoRedefine/>
    <w:qFormat/>
    <w:uiPriority w:val="0"/>
    <w:pPr>
      <w:ind w:left="1200" w:leftChars="1200"/>
    </w:pPr>
  </w:style>
  <w:style w:type="paragraph" w:styleId="72">
    <w:name w:val="index 9"/>
    <w:basedOn w:val="1"/>
    <w:next w:val="1"/>
    <w:autoRedefine/>
    <w:qFormat/>
    <w:uiPriority w:val="0"/>
    <w:pPr>
      <w:ind w:left="1600" w:leftChars="1600"/>
    </w:pPr>
  </w:style>
  <w:style w:type="paragraph" w:styleId="73">
    <w:name w:val="table of figures"/>
    <w:basedOn w:val="1"/>
    <w:next w:val="1"/>
    <w:autoRedefine/>
    <w:qFormat/>
    <w:uiPriority w:val="0"/>
    <w:pPr>
      <w:ind w:left="200" w:leftChars="200" w:hanging="200" w:hangingChars="200"/>
    </w:pPr>
  </w:style>
  <w:style w:type="paragraph" w:styleId="74">
    <w:name w:val="toc 2"/>
    <w:basedOn w:val="1"/>
    <w:next w:val="1"/>
    <w:autoRedefine/>
    <w:qFormat/>
    <w:uiPriority w:val="0"/>
    <w:pPr>
      <w:ind w:left="420" w:leftChars="200"/>
    </w:pPr>
  </w:style>
  <w:style w:type="paragraph" w:styleId="75">
    <w:name w:val="toc 9"/>
    <w:basedOn w:val="1"/>
    <w:next w:val="1"/>
    <w:autoRedefine/>
    <w:qFormat/>
    <w:uiPriority w:val="0"/>
    <w:pPr>
      <w:ind w:left="3360" w:leftChars="1600"/>
    </w:pPr>
  </w:style>
  <w:style w:type="paragraph" w:styleId="76">
    <w:name w:val="Body Text 2"/>
    <w:basedOn w:val="1"/>
    <w:autoRedefine/>
    <w:qFormat/>
    <w:uiPriority w:val="0"/>
    <w:pPr>
      <w:spacing w:after="120" w:line="480" w:lineRule="auto"/>
    </w:pPr>
  </w:style>
  <w:style w:type="paragraph" w:styleId="77">
    <w:name w:val="List 4"/>
    <w:basedOn w:val="1"/>
    <w:autoRedefine/>
    <w:qFormat/>
    <w:uiPriority w:val="0"/>
    <w:pPr>
      <w:ind w:left="100" w:leftChars="600" w:hanging="200" w:hangingChars="200"/>
    </w:pPr>
  </w:style>
  <w:style w:type="paragraph" w:styleId="78">
    <w:name w:val="List Continue 2"/>
    <w:basedOn w:val="1"/>
    <w:autoRedefine/>
    <w:qFormat/>
    <w:uiPriority w:val="0"/>
    <w:pPr>
      <w:spacing w:after="120"/>
      <w:ind w:left="840" w:leftChars="400"/>
    </w:pPr>
  </w:style>
  <w:style w:type="paragraph" w:styleId="79">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0">
    <w:name w:val="HTML Preformatted"/>
    <w:basedOn w:val="1"/>
    <w:link w:val="97"/>
    <w:autoRedefine/>
    <w:qFormat/>
    <w:uiPriority w:val="99"/>
    <w:rPr>
      <w:rFonts w:ascii="Courier New" w:hAnsi="Courier New"/>
      <w:sz w:val="20"/>
    </w:rPr>
  </w:style>
  <w:style w:type="paragraph" w:styleId="81">
    <w:name w:val="Normal (Web)"/>
    <w:basedOn w:val="1"/>
    <w:autoRedefine/>
    <w:qFormat/>
    <w:uiPriority w:val="99"/>
    <w:pPr>
      <w:spacing w:before="100" w:beforeAutospacing="1" w:after="100" w:afterAutospacing="1"/>
      <w:jc w:val="left"/>
    </w:pPr>
    <w:rPr>
      <w:kern w:val="0"/>
      <w:sz w:val="24"/>
    </w:rPr>
  </w:style>
  <w:style w:type="paragraph" w:styleId="82">
    <w:name w:val="List Continue 3"/>
    <w:basedOn w:val="1"/>
    <w:autoRedefine/>
    <w:qFormat/>
    <w:uiPriority w:val="0"/>
    <w:pPr>
      <w:spacing w:after="120"/>
      <w:ind w:left="1260" w:leftChars="600"/>
    </w:pPr>
  </w:style>
  <w:style w:type="paragraph" w:styleId="83">
    <w:name w:val="index 2"/>
    <w:basedOn w:val="1"/>
    <w:next w:val="1"/>
    <w:autoRedefine/>
    <w:qFormat/>
    <w:uiPriority w:val="0"/>
    <w:pPr>
      <w:ind w:left="200" w:leftChars="200"/>
    </w:pPr>
  </w:style>
  <w:style w:type="paragraph" w:styleId="84">
    <w:name w:val="Title"/>
    <w:basedOn w:val="1"/>
    <w:autoRedefine/>
    <w:qFormat/>
    <w:uiPriority w:val="0"/>
    <w:pPr>
      <w:spacing w:before="240" w:after="60"/>
      <w:jc w:val="center"/>
      <w:outlineLvl w:val="0"/>
    </w:pPr>
    <w:rPr>
      <w:rFonts w:ascii="Arial" w:hAnsi="Arial"/>
      <w:b/>
      <w:sz w:val="32"/>
    </w:rPr>
  </w:style>
  <w:style w:type="paragraph" w:styleId="85">
    <w:name w:val="annotation subject"/>
    <w:basedOn w:val="28"/>
    <w:next w:val="28"/>
    <w:autoRedefine/>
    <w:qFormat/>
    <w:uiPriority w:val="0"/>
    <w:rPr>
      <w:b/>
    </w:rPr>
  </w:style>
  <w:style w:type="paragraph" w:styleId="86">
    <w:name w:val="Body Text First Indent"/>
    <w:basedOn w:val="34"/>
    <w:autoRedefine/>
    <w:qFormat/>
    <w:uiPriority w:val="0"/>
    <w:pPr>
      <w:ind w:firstLine="420" w:firstLineChars="100"/>
    </w:pPr>
  </w:style>
  <w:style w:type="paragraph" w:styleId="87">
    <w:name w:val="Body Text First Indent 2"/>
    <w:basedOn w:val="35"/>
    <w:autoRedefine/>
    <w:qFormat/>
    <w:uiPriority w:val="0"/>
    <w:pPr>
      <w:ind w:firstLine="420" w:firstLineChars="200"/>
    </w:pPr>
  </w:style>
  <w:style w:type="table" w:styleId="89">
    <w:name w:val="Table Grid"/>
    <w:basedOn w:val="8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autoRedefine/>
    <w:qFormat/>
    <w:uiPriority w:val="22"/>
    <w:rPr>
      <w:b/>
    </w:rPr>
  </w:style>
  <w:style w:type="character" w:styleId="92">
    <w:name w:val="page number"/>
    <w:autoRedefine/>
    <w:qFormat/>
    <w:uiPriority w:val="0"/>
  </w:style>
  <w:style w:type="character" w:styleId="93">
    <w:name w:val="FollowedHyperlink"/>
    <w:autoRedefine/>
    <w:unhideWhenUsed/>
    <w:qFormat/>
    <w:uiPriority w:val="0"/>
    <w:rPr>
      <w:color w:val="996600"/>
      <w:u w:val="none"/>
    </w:rPr>
  </w:style>
  <w:style w:type="character" w:styleId="94">
    <w:name w:val="Emphasis"/>
    <w:autoRedefine/>
    <w:qFormat/>
    <w:uiPriority w:val="0"/>
    <w:rPr>
      <w:color w:val="CC0000"/>
    </w:rPr>
  </w:style>
  <w:style w:type="character" w:styleId="95">
    <w:name w:val="Hyperlink"/>
    <w:basedOn w:val="90"/>
    <w:autoRedefine/>
    <w:qFormat/>
    <w:uiPriority w:val="99"/>
    <w:rPr>
      <w:color w:val="000000"/>
      <w:u w:val="none"/>
    </w:rPr>
  </w:style>
  <w:style w:type="character" w:customStyle="1" w:styleId="96">
    <w:name w:val="页眉 Char"/>
    <w:link w:val="57"/>
    <w:autoRedefine/>
    <w:qFormat/>
    <w:uiPriority w:val="0"/>
    <w:rPr>
      <w:rFonts w:ascii="Calibri" w:hAnsi="Calibri" w:eastAsia="宋体"/>
      <w:kern w:val="2"/>
      <w:sz w:val="18"/>
      <w:lang w:val="en-US" w:eastAsia="zh-CN"/>
    </w:rPr>
  </w:style>
  <w:style w:type="character" w:customStyle="1" w:styleId="97">
    <w:name w:val="HTML 预设格式 Char"/>
    <w:link w:val="80"/>
    <w:autoRedefine/>
    <w:qFormat/>
    <w:uiPriority w:val="99"/>
    <w:rPr>
      <w:rFonts w:ascii="Courier New" w:hAnsi="Courier New"/>
      <w:kern w:val="2"/>
    </w:rPr>
  </w:style>
  <w:style w:type="paragraph" w:customStyle="1" w:styleId="98">
    <w:name w:val="z-窗体顶端1"/>
    <w:basedOn w:val="1"/>
    <w:next w:val="1"/>
    <w:autoRedefine/>
    <w:qFormat/>
    <w:uiPriority w:val="0"/>
    <w:pPr>
      <w:widowControl/>
      <w:pBdr>
        <w:bottom w:val="single" w:color="auto" w:sz="6" w:space="1"/>
      </w:pBdr>
      <w:jc w:val="center"/>
    </w:pPr>
    <w:rPr>
      <w:rFonts w:ascii="Arial" w:hAnsi="Arial"/>
      <w:vanish/>
      <w:kern w:val="0"/>
      <w:sz w:val="16"/>
    </w:rPr>
  </w:style>
  <w:style w:type="paragraph" w:customStyle="1" w:styleId="99">
    <w:name w:val="Char"/>
    <w:basedOn w:val="1"/>
    <w:autoRedefine/>
    <w:qFormat/>
    <w:uiPriority w:val="0"/>
    <w:pPr>
      <w:tabs>
        <w:tab w:val="left" w:pos="360"/>
      </w:tabs>
    </w:pPr>
    <w:rPr>
      <w:rFonts w:ascii="Courier New" w:hAnsi="Courier New"/>
    </w:rPr>
  </w:style>
  <w:style w:type="paragraph" w:customStyle="1" w:styleId="100">
    <w:name w:val="列出段落11"/>
    <w:basedOn w:val="1"/>
    <w:autoRedefine/>
    <w:qFormat/>
    <w:uiPriority w:val="0"/>
    <w:pPr>
      <w:ind w:firstLine="420" w:firstLineChars="200"/>
    </w:pPr>
    <w:rPr>
      <w:rFonts w:ascii="Calibri" w:hAnsi="Calibri"/>
    </w:rPr>
  </w:style>
  <w:style w:type="paragraph" w:customStyle="1" w:styleId="101">
    <w:name w:val="Default"/>
    <w:autoRedefine/>
    <w:qFormat/>
    <w:uiPriority w:val="0"/>
    <w:pPr>
      <w:widowControl w:val="0"/>
      <w:autoSpaceDE w:val="0"/>
      <w:autoSpaceDN w:val="0"/>
      <w:adjustRightInd w:val="0"/>
    </w:pPr>
    <w:rPr>
      <w:rFonts w:ascii="仿宋_GB2312" w:hAnsi="Times New Roman" w:eastAsia="仿宋_GB2312" w:cs="Times New Roman"/>
      <w:color w:val="000000"/>
      <w:sz w:val="24"/>
      <w:lang w:val="en-US" w:eastAsia="zh-CN" w:bidi="ar-SA"/>
    </w:rPr>
  </w:style>
  <w:style w:type="paragraph" w:customStyle="1" w:styleId="102">
    <w:name w:val="页眉1"/>
    <w:basedOn w:val="1"/>
    <w:autoRedefine/>
    <w:qFormat/>
    <w:uiPriority w:val="0"/>
    <w:pPr>
      <w:pBdr>
        <w:bottom w:val="single" w:color="auto" w:sz="6" w:space="1"/>
      </w:pBdr>
      <w:tabs>
        <w:tab w:val="center" w:pos="4153"/>
        <w:tab w:val="right" w:pos="8306"/>
      </w:tabs>
      <w:snapToGrid w:val="0"/>
      <w:jc w:val="center"/>
    </w:pPr>
    <w:rPr>
      <w:rFonts w:ascii="Calibri" w:hAnsi="Calibri"/>
      <w:sz w:val="18"/>
    </w:rPr>
  </w:style>
  <w:style w:type="paragraph" w:customStyle="1" w:styleId="103">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4">
    <w:name w:val="页脚1"/>
    <w:basedOn w:val="1"/>
    <w:autoRedefine/>
    <w:qFormat/>
    <w:uiPriority w:val="0"/>
    <w:pPr>
      <w:tabs>
        <w:tab w:val="center" w:pos="4153"/>
        <w:tab w:val="right" w:pos="8306"/>
      </w:tabs>
      <w:snapToGrid w:val="0"/>
      <w:jc w:val="left"/>
    </w:pPr>
    <w:rPr>
      <w:sz w:val="18"/>
    </w:rPr>
  </w:style>
  <w:style w:type="paragraph" w:customStyle="1" w:styleId="105">
    <w:name w:val="列出段落1"/>
    <w:basedOn w:val="1"/>
    <w:autoRedefine/>
    <w:qFormat/>
    <w:uiPriority w:val="0"/>
    <w:pPr>
      <w:ind w:firstLine="420" w:firstLineChars="200"/>
    </w:pPr>
  </w:style>
  <w:style w:type="paragraph" w:customStyle="1" w:styleId="106">
    <w:name w:val="p0"/>
    <w:basedOn w:val="1"/>
    <w:autoRedefine/>
    <w:qFormat/>
    <w:uiPriority w:val="0"/>
    <w:pPr>
      <w:widowControl/>
    </w:pPr>
    <w:rPr>
      <w:kern w:val="0"/>
    </w:rPr>
  </w:style>
  <w:style w:type="paragraph" w:customStyle="1" w:styleId="107">
    <w:name w:val="列出段落12"/>
    <w:basedOn w:val="1"/>
    <w:autoRedefine/>
    <w:qFormat/>
    <w:uiPriority w:val="0"/>
    <w:pPr>
      <w:widowControl/>
      <w:ind w:firstLine="420" w:firstLineChars="200"/>
      <w:jc w:val="left"/>
    </w:pPr>
    <w:rPr>
      <w:rFonts w:ascii="宋体" w:hAnsi="宋体"/>
      <w:kern w:val="0"/>
      <w:sz w:val="24"/>
    </w:rPr>
  </w:style>
  <w:style w:type="paragraph" w:customStyle="1" w:styleId="108">
    <w:name w:val="z-窗体底端1"/>
    <w:basedOn w:val="1"/>
    <w:next w:val="1"/>
    <w:autoRedefine/>
    <w:qFormat/>
    <w:uiPriority w:val="0"/>
    <w:pPr>
      <w:widowControl/>
      <w:pBdr>
        <w:top w:val="single" w:color="auto" w:sz="6" w:space="1"/>
      </w:pBdr>
      <w:jc w:val="center"/>
    </w:pPr>
    <w:rPr>
      <w:rFonts w:ascii="Arial" w:hAnsi="Arial"/>
      <w:vanish/>
      <w:kern w:val="0"/>
      <w:sz w:val="16"/>
    </w:rPr>
  </w:style>
  <w:style w:type="character" w:customStyle="1" w:styleId="109">
    <w:name w:val="font01"/>
    <w:autoRedefine/>
    <w:qFormat/>
    <w:uiPriority w:val="0"/>
    <w:rPr>
      <w:rFonts w:hint="default" w:ascii="Arial" w:hAnsi="Arial"/>
      <w:b/>
      <w:color w:val="000000"/>
      <w:sz w:val="16"/>
      <w:u w:val="none"/>
    </w:rPr>
  </w:style>
  <w:style w:type="character" w:customStyle="1" w:styleId="110">
    <w:name w:val="txtcontent11"/>
    <w:autoRedefine/>
    <w:qFormat/>
    <w:uiPriority w:val="0"/>
    <w:rPr>
      <w:rFonts w:hint="default" w:ascii="ˎ̥" w:hAnsi="ˎ̥"/>
      <w:color w:val="000000"/>
      <w:sz w:val="21"/>
    </w:rPr>
  </w:style>
  <w:style w:type="character" w:customStyle="1" w:styleId="111">
    <w:name w:val="font41"/>
    <w:autoRedefine/>
    <w:qFormat/>
    <w:uiPriority w:val="0"/>
    <w:rPr>
      <w:rFonts w:hint="eastAsia" w:ascii="宋体" w:hAnsi="宋体" w:eastAsia="宋体"/>
      <w:b/>
      <w:color w:val="000000"/>
      <w:sz w:val="16"/>
      <w:u w:val="none"/>
    </w:rPr>
  </w:style>
  <w:style w:type="character" w:customStyle="1" w:styleId="112">
    <w:name w:val="font81"/>
    <w:autoRedefine/>
    <w:qFormat/>
    <w:uiPriority w:val="0"/>
    <w:rPr>
      <w:rFonts w:hint="eastAsia" w:ascii="宋体" w:hAnsi="宋体" w:eastAsia="宋体"/>
      <w:b/>
      <w:color w:val="000000"/>
      <w:sz w:val="16"/>
      <w:u w:val="none"/>
    </w:rPr>
  </w:style>
  <w:style w:type="character" w:customStyle="1" w:styleId="113">
    <w:name w:val="font61"/>
    <w:autoRedefine/>
    <w:qFormat/>
    <w:uiPriority w:val="0"/>
    <w:rPr>
      <w:rFonts w:hint="eastAsia" w:ascii="宋体" w:hAnsi="宋体" w:eastAsia="宋体"/>
      <w:b/>
      <w:color w:val="000000"/>
      <w:sz w:val="16"/>
      <w:u w:val="none"/>
    </w:rPr>
  </w:style>
  <w:style w:type="character" w:customStyle="1" w:styleId="114">
    <w:name w:val="未处理的提及1"/>
    <w:autoRedefine/>
    <w:qFormat/>
    <w:uiPriority w:val="0"/>
    <w:rPr>
      <w:color w:val="808080"/>
      <w:shd w:val="clear" w:color="auto" w:fill="E6E6E6"/>
    </w:rPr>
  </w:style>
  <w:style w:type="character" w:customStyle="1" w:styleId="115">
    <w:name w:val="personpopuptrigger"/>
    <w:autoRedefine/>
    <w:qFormat/>
    <w:uiPriority w:val="0"/>
  </w:style>
  <w:style w:type="character" w:customStyle="1" w:styleId="116">
    <w:name w:val="不明显强调1"/>
    <w:autoRedefine/>
    <w:qFormat/>
    <w:uiPriority w:val="0"/>
    <w:rPr>
      <w:i/>
      <w:color w:val="808080"/>
    </w:rPr>
  </w:style>
  <w:style w:type="character" w:customStyle="1" w:styleId="117">
    <w:name w:val="font71"/>
    <w:autoRedefine/>
    <w:qFormat/>
    <w:uiPriority w:val="0"/>
    <w:rPr>
      <w:rFonts w:hint="eastAsia" w:ascii="宋体" w:hAnsi="宋体" w:eastAsia="宋体"/>
      <w:b/>
      <w:color w:val="000000"/>
      <w:sz w:val="16"/>
      <w:u w:val="none"/>
    </w:rPr>
  </w:style>
  <w:style w:type="character" w:customStyle="1" w:styleId="118">
    <w:name w:val="font51"/>
    <w:autoRedefine/>
    <w:qFormat/>
    <w:uiPriority w:val="0"/>
    <w:rPr>
      <w:rFonts w:hint="default" w:ascii="Arial" w:hAnsi="Arial"/>
      <w:b/>
      <w:color w:val="000000"/>
      <w:sz w:val="16"/>
      <w:u w:val="none"/>
    </w:rPr>
  </w:style>
  <w:style w:type="character" w:customStyle="1" w:styleId="119">
    <w:name w:val="font11"/>
    <w:autoRedefine/>
    <w:qFormat/>
    <w:uiPriority w:val="0"/>
    <w:rPr>
      <w:rFonts w:hint="default" w:ascii="Arial" w:hAnsi="Arial"/>
      <w:b/>
      <w:color w:val="000000"/>
      <w:sz w:val="16"/>
      <w:u w:val="none"/>
    </w:rPr>
  </w:style>
  <w:style w:type="character" w:customStyle="1" w:styleId="120">
    <w:name w:val="underline1"/>
    <w:autoRedefine/>
    <w:qFormat/>
    <w:uiPriority w:val="0"/>
    <w:rPr>
      <w:u w:val="single"/>
    </w:rPr>
  </w:style>
  <w:style w:type="character" w:customStyle="1" w:styleId="121">
    <w:name w:val="font31"/>
    <w:autoRedefine/>
    <w:qFormat/>
    <w:uiPriority w:val="0"/>
    <w:rPr>
      <w:rFonts w:hint="eastAsia" w:ascii="宋体" w:hAnsi="宋体" w:eastAsia="宋体"/>
      <w:b/>
      <w:color w:val="000000"/>
      <w:sz w:val="16"/>
      <w:u w:val="none"/>
    </w:rPr>
  </w:style>
  <w:style w:type="character" w:customStyle="1" w:styleId="122">
    <w:name w:val="apple-converted-space"/>
    <w:autoRedefine/>
    <w:qFormat/>
    <w:uiPriority w:val="0"/>
  </w:style>
  <w:style w:type="character" w:customStyle="1" w:styleId="123">
    <w:name w:val="lbldetailcontent1"/>
    <w:autoRedefine/>
    <w:qFormat/>
    <w:uiPriority w:val="0"/>
  </w:style>
  <w:style w:type="character" w:customStyle="1" w:styleId="124">
    <w:name w:val="页码1"/>
    <w:autoRedefine/>
    <w:qFormat/>
    <w:uiPriority w:val="0"/>
  </w:style>
  <w:style w:type="character" w:customStyle="1" w:styleId="125">
    <w:name w:val="font21"/>
    <w:autoRedefine/>
    <w:qFormat/>
    <w:uiPriority w:val="0"/>
    <w:rPr>
      <w:rFonts w:hint="eastAsia" w:ascii="宋体" w:hAnsi="宋体" w:eastAsia="宋体"/>
      <w:b/>
      <w:color w:val="000000"/>
      <w:sz w:val="16"/>
      <w:u w:val="none"/>
    </w:rPr>
  </w:style>
  <w:style w:type="paragraph" w:customStyle="1" w:styleId="126">
    <w:name w:val="列表段落1"/>
    <w:basedOn w:val="1"/>
    <w:autoRedefine/>
    <w:unhideWhenUsed/>
    <w:qFormat/>
    <w:uiPriority w:val="99"/>
    <w:pPr>
      <w:ind w:firstLine="420" w:firstLineChars="200"/>
    </w:pPr>
  </w:style>
  <w:style w:type="character" w:customStyle="1" w:styleId="127">
    <w:name w:val="readmail_locationtip"/>
    <w:autoRedefine/>
    <w:qFormat/>
    <w:uiPriority w:val="0"/>
  </w:style>
  <w:style w:type="character" w:customStyle="1" w:styleId="128">
    <w:name w:val="未处理的提及2"/>
    <w:autoRedefine/>
    <w:unhideWhenUsed/>
    <w:qFormat/>
    <w:uiPriority w:val="99"/>
    <w:rPr>
      <w:color w:val="605E5C"/>
      <w:shd w:val="clear" w:color="auto" w:fill="E1DFDD"/>
    </w:rPr>
  </w:style>
  <w:style w:type="paragraph" w:styleId="129">
    <w:name w:val="List Paragraph"/>
    <w:basedOn w:val="1"/>
    <w:autoRedefine/>
    <w:qFormat/>
    <w:uiPriority w:val="34"/>
    <w:pPr>
      <w:ind w:firstLine="420" w:firstLineChars="200"/>
    </w:pPr>
  </w:style>
  <w:style w:type="paragraph" w:customStyle="1" w:styleId="130">
    <w:name w:val="detail_p"/>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31">
    <w:name w:val="未处理的提及3"/>
    <w:basedOn w:val="90"/>
    <w:semiHidden/>
    <w:unhideWhenUsed/>
    <w:qFormat/>
    <w:uiPriority w:val="99"/>
    <w:rPr>
      <w:color w:val="605E5C"/>
      <w:shd w:val="clear" w:color="auto" w:fill="E1DFDD"/>
    </w:rPr>
  </w:style>
  <w:style w:type="character" w:customStyle="1" w:styleId="132">
    <w:name w:val="未处理的提及4"/>
    <w:basedOn w:val="9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6089;&#30424;&#24037;&#20316;\&#26032;&#19990;&#32426;&#26399;&#36135;&#30424;&#21069;&#20132;&#26131;&#25552;&#31034;2019.3.2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新世纪期货盘前交易提示2019.3.21</Template>
  <Company>Microsoft</Company>
  <Pages>7</Pages>
  <Words>7243</Words>
  <Characters>7714</Characters>
  <Lines>56</Lines>
  <Paragraphs>15</Paragraphs>
  <TotalTime>1</TotalTime>
  <ScaleCrop>false</ScaleCrop>
  <LinksUpToDate>false</LinksUpToDate>
  <CharactersWithSpaces>7735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2024-08-22T08:00:00Z</dcterms:created>
  <dc:creator>AutoBVT</dc:creator>
  <cp:lastModifiedBy>葛台芬</cp:lastModifiedBy>
  <cp:lastPrinted>2024-11-14T00:31:00Z</cp:lastPrinted>
  <dcterms:modified xsi:type="dcterms:W3CDTF">2024-11-21T00:49:36Z</dcterms:modified>
  <dc:title>避险拉动，金牛隐现</dc:title>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192D1AEFD8A94E83A321198461458D32_13</vt:lpwstr>
  </property>
</Properties>
</file>