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tabs>
          <w:tab w:val="left" w:pos="3804"/>
        </w:tabs>
        <w:spacing w:before="312" w:beforeLines="100" w:after="312" w:afterLines="100" w:line="480" w:lineRule="auto"/>
        <w:rPr>
          <w:rFonts w:ascii="宋体" w:hAnsi="宋体"/>
          <w:color w:val="FFFFFF"/>
          <w:sz w:val="28"/>
        </w:rPr>
      </w:pPr>
      <w:r>
        <w:rPr>
          <w:rFonts w:ascii="黑体" w:hAnsi="宋体" w:eastAsia="黑体"/>
          <w:color w:val="FFFFFF"/>
          <w:sz w:val="28"/>
        </w:rPr>
        <mc:AlternateContent>
          <mc:Choice Requires="wps">
            <w:drawing>
              <wp:anchor distT="0" distB="0" distL="114300" distR="114300" simplePos="0" relativeHeight="251659264"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wps:spPr>
                      <wps:txbx>
                        <w:txbxContent>
                          <w:p>
                            <w:pPr>
                              <w:rPr>
                                <w:rFonts w:ascii="黑体" w:eastAsia="黑体"/>
                                <w:sz w:val="28"/>
                              </w:rPr>
                            </w:pPr>
                            <w:r>
                              <w:rPr>
                                <w:rFonts w:hint="eastAsia" w:ascii="黑体" w:hAnsi="Arial Black" w:eastAsia="黑体"/>
                                <w:color w:val="FFFFFF"/>
                                <w:sz w:val="28"/>
                              </w:rPr>
                              <w:fldChar w:fldCharType="begin"/>
                            </w:r>
                            <w:r>
                              <w:rPr>
                                <w:rFonts w:hint="eastAsia" w:ascii="黑体" w:hAnsi="Arial Black" w:eastAsia="黑体"/>
                                <w:color w:val="FFFFFF"/>
                                <w:sz w:val="28"/>
                              </w:rPr>
                              <w:instrText xml:space="preserve"> TIME \@ "yyyy年M月d日星期W" </w:instrText>
                            </w:r>
                            <w:r>
                              <w:rPr>
                                <w:rFonts w:hint="eastAsia" w:ascii="黑体" w:hAnsi="Arial Black" w:eastAsia="黑体"/>
                                <w:color w:val="FFFFFF"/>
                                <w:sz w:val="28"/>
                              </w:rPr>
                              <w:fldChar w:fldCharType="separate"/>
                            </w:r>
                            <w:r>
                              <w:rPr>
                                <w:rFonts w:hint="eastAsia" w:ascii="黑体" w:hAnsi="Arial Black" w:eastAsia="黑体"/>
                                <w:color w:val="FFFFFF"/>
                                <w:sz w:val="28"/>
                              </w:rPr>
                              <w:t>2019年5月30日星期四</w:t>
                            </w:r>
                            <w:r>
                              <w:rPr>
                                <w:rFonts w:hint="eastAsia" w:ascii="黑体" w:hAnsi="Arial Black" w:eastAsia="黑体"/>
                                <w:color w:val="FFFFFF"/>
                                <w:sz w:val="28"/>
                              </w:rPr>
                              <w:fldChar w:fldCharType="end"/>
                            </w:r>
                          </w:p>
                        </w:txbxContent>
                      </wps:txbx>
                      <wps:bodyPr wrap="square" upright="1"/>
                    </wps:wsp>
                  </a:graphicData>
                </a:graphic>
              </wp:anchor>
            </w:drawing>
          </mc:Choice>
          <mc:Fallback>
            <w:pict>
              <v:shape id="Text Box 2" o:spid="_x0000_s1026" o:spt="202" type="#_x0000_t202" style="position:absolute;left:0pt;margin-left:350.75pt;margin-top:7.8pt;height:31.2pt;width:178.55pt;z-index:251659264;mso-width-relative:page;mso-height-relative:page;" filled="f" stroked="f" coordsize="21600,21600" o:gfxdata="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BQco1t1QAAAAoBAAAPAAAAAAAAAAEAIAAAACIAAABkcnMv&#10;ZG93bnJldi54bWxQSwECFAAUAAAACACHTuJAHy3m2JQBAAAWAwAADgAAAAAAAAABACAAAAAkAQAA&#10;ZHJzL2Uyb0RvYy54bWxQSwUGAAAAAAYABgBZAQAAKgUAAAAA&#10;">
                <v:fill on="f" focussize="0,0"/>
                <v:stroke on="f"/>
                <v:imagedata o:title=""/>
                <o:lock v:ext="edit" aspectratio="f"/>
                <v:textbox>
                  <w:txbxContent>
                    <w:p>
                      <w:pPr>
                        <w:rPr>
                          <w:rFonts w:ascii="黑体" w:eastAsia="黑体"/>
                          <w:sz w:val="28"/>
                        </w:rPr>
                      </w:pPr>
                      <w:r>
                        <w:rPr>
                          <w:rFonts w:hint="eastAsia" w:ascii="黑体" w:hAnsi="Arial Black" w:eastAsia="黑体"/>
                          <w:color w:val="FFFFFF"/>
                          <w:sz w:val="28"/>
                        </w:rPr>
                        <w:fldChar w:fldCharType="begin"/>
                      </w:r>
                      <w:r>
                        <w:rPr>
                          <w:rFonts w:hint="eastAsia" w:ascii="黑体" w:hAnsi="Arial Black" w:eastAsia="黑体"/>
                          <w:color w:val="FFFFFF"/>
                          <w:sz w:val="28"/>
                        </w:rPr>
                        <w:instrText xml:space="preserve"> TIME \@ "yyyy年M月d日星期W" </w:instrText>
                      </w:r>
                      <w:r>
                        <w:rPr>
                          <w:rFonts w:hint="eastAsia" w:ascii="黑体" w:hAnsi="Arial Black" w:eastAsia="黑体"/>
                          <w:color w:val="FFFFFF"/>
                          <w:sz w:val="28"/>
                        </w:rPr>
                        <w:fldChar w:fldCharType="separate"/>
                      </w:r>
                      <w:r>
                        <w:rPr>
                          <w:rFonts w:hint="eastAsia" w:ascii="黑体" w:hAnsi="Arial Black" w:eastAsia="黑体"/>
                          <w:color w:val="FFFFFF"/>
                          <w:sz w:val="28"/>
                        </w:rPr>
                        <w:t>2019年5月30日星期四</w:t>
                      </w:r>
                      <w:r>
                        <w:rPr>
                          <w:rFonts w:hint="eastAsia" w:ascii="黑体" w:hAnsi="Arial Black" w:eastAsia="黑体"/>
                          <w:color w:val="FFFFFF"/>
                          <w:sz w:val="28"/>
                        </w:rPr>
                        <w:fldChar w:fldCharType="end"/>
                      </w:r>
                    </w:p>
                  </w:txbxContent>
                </v:textbox>
              </v:shape>
            </w:pict>
          </mc:Fallback>
        </mc:AlternateContent>
      </w:r>
      <w:r>
        <w:rPr>
          <w:rFonts w:ascii="黑体" w:hAnsi="宋体" w:eastAsia="黑体"/>
          <w:color w:val="FFFFFF"/>
          <w:sz w:val="28"/>
        </w:rPr>
        <mc:AlternateContent>
          <mc:Choice Requires="wps">
            <w:drawing>
              <wp:anchor distT="0" distB="0" distL="114300" distR="114300" simplePos="0" relativeHeight="251658240" behindDoc="1" locked="0" layoutInCell="1" allowOverlap="1">
                <wp:simplePos x="0" y="0"/>
                <wp:positionH relativeFrom="page">
                  <wp:posOffset>-669925</wp:posOffset>
                </wp:positionH>
                <wp:positionV relativeFrom="page">
                  <wp:posOffset>1179195</wp:posOffset>
                </wp:positionV>
                <wp:extent cx="8343900" cy="504190"/>
                <wp:effectExtent l="6350" t="7620" r="3175" b="2540"/>
                <wp:wrapNone/>
                <wp:docPr id="1" name="未知"/>
                <wp:cNvGraphicFramePr/>
                <a:graphic xmlns:a="http://schemas.openxmlformats.org/drawingml/2006/main">
                  <a:graphicData uri="http://schemas.microsoft.com/office/word/2010/wordprocessingShape">
                    <wps:wsp>
                      <wps:cNvSpPr/>
                      <wps:spPr bwMode="auto">
                        <a:xfrm>
                          <a:off x="0" y="0"/>
                          <a:ext cx="8343900" cy="504190"/>
                        </a:xfrm>
                        <a:custGeom>
                          <a:avLst/>
                          <a:gdLst>
                            <a:gd name="T0" fmla="*/ 0 w 10880"/>
                            <a:gd name="T1" fmla="*/ 0 h 453"/>
                            <a:gd name="T2" fmla="*/ 0 w 10880"/>
                            <a:gd name="T3" fmla="*/ 2147483646 h 453"/>
                            <a:gd name="T4" fmla="*/ 2147483646 w 10880"/>
                            <a:gd name="T5" fmla="*/ 2147483646 h 453"/>
                            <a:gd name="T6" fmla="*/ 2147483646 w 10880"/>
                            <a:gd name="T7" fmla="*/ 0 h 453"/>
                            <a:gd name="T8" fmla="*/ 0 w 10880"/>
                            <a:gd name="T9" fmla="*/ 0 h 453"/>
                            <a:gd name="T10" fmla="*/ 0 60000 65536"/>
                            <a:gd name="T11" fmla="*/ 0 60000 65536"/>
                            <a:gd name="T12" fmla="*/ 0 60000 65536"/>
                            <a:gd name="T13" fmla="*/ 0 60000 65536"/>
                            <a:gd name="T14" fmla="*/ 0 60000 65536"/>
                            <a:gd name="T15" fmla="*/ 0 w 10880"/>
                            <a:gd name="T16" fmla="*/ 0 h 453"/>
                            <a:gd name="T17" fmla="*/ 10880 w 10880"/>
                            <a:gd name="T18" fmla="*/ 453 h 453"/>
                          </a:gdLst>
                          <a:ahLst/>
                          <a:cxnLst>
                            <a:cxn ang="T10">
                              <a:pos x="T0" y="T1"/>
                            </a:cxn>
                            <a:cxn ang="T11">
                              <a:pos x="T2" y="T3"/>
                            </a:cxn>
                            <a:cxn ang="T12">
                              <a:pos x="T4" y="T5"/>
                            </a:cxn>
                            <a:cxn ang="T13">
                              <a:pos x="T6" y="T7"/>
                            </a:cxn>
                            <a:cxn ang="T14">
                              <a:pos x="T8" y="T9"/>
                            </a:cxn>
                          </a:cxnLst>
                          <a:rect l="T15" t="T16" r="T17" b="T18"/>
                          <a:pathLst>
                            <a:path w="10880" h="453">
                              <a:moveTo>
                                <a:pt x="0" y="0"/>
                              </a:moveTo>
                              <a:lnTo>
                                <a:pt x="0" y="453"/>
                              </a:lnTo>
                              <a:lnTo>
                                <a:pt x="10880" y="453"/>
                              </a:lnTo>
                              <a:lnTo>
                                <a:pt x="10880" y="0"/>
                              </a:lnTo>
                              <a:lnTo>
                                <a:pt x="0" y="0"/>
                              </a:lnTo>
                              <a:close/>
                            </a:path>
                          </a:pathLst>
                        </a:custGeom>
                        <a:solidFill>
                          <a:srgbClr val="CC0000">
                            <a:alpha val="74117"/>
                          </a:srgbClr>
                        </a:solidFill>
                        <a:ln>
                          <a:noFill/>
                        </a:ln>
                      </wps:spPr>
                      <wps:bodyPr rot="0" vert="horz" wrap="square" lIns="91440" tIns="45720" rIns="91440" bIns="45720" anchor="t" anchorCtr="0" upright="1">
                        <a:noAutofit/>
                      </wps:bodyPr>
                    </wps:wsp>
                  </a:graphicData>
                </a:graphic>
              </wp:anchor>
            </w:drawing>
          </mc:Choice>
          <mc:Fallback>
            <w:pict>
              <v:shape id="未知" o:spid="_x0000_s1026" o:spt="100" style="position:absolute;left:0pt;margin-left:-52.75pt;margin-top:92.85pt;height:39.7pt;width:657pt;mso-position-horizontal-relative:page;mso-position-vertical-relative:page;z-index:-251658240;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CE&#10;C6nz1wAAAA0BAAAPAAAAAAAAAAEAIAAAACIAAABkcnMvZG93bnJldi54bWxQSwECFAAUAAAACACH&#10;TuJAXL9jWEIDAAABCQAADgAAAAAAAAABACAAAAAmAQAAZHJzL2Uyb0RvYy54bWxQSwUGAAAAAAYA&#10;BgBZAQAA2gYAAAAA&#10;" path="m0,0l0,453,10880,453,10880,0,0,0xe">
                <v:path o:connectlocs="0,0;0,@0;@0,@0;@0,0;0,0" o:connectangles="0,0,0,0,0"/>
                <v:fill on="t" opacity="48573f" focussize="0,0"/>
                <v:stroke on="f"/>
                <v:imagedata o:title=""/>
                <o:lock v:ext="edit" aspectratio="f"/>
              </v:shape>
            </w:pict>
          </mc:Fallback>
        </mc:AlternateContent>
      </w:r>
      <w:r>
        <w:rPr>
          <w:rFonts w:hint="eastAsia" w:ascii="黑体" w:hAnsi="宋体" w:eastAsia="黑体"/>
          <w:color w:val="FFFFFF"/>
          <w:sz w:val="28"/>
        </w:rPr>
        <w:t xml:space="preserve"> 研究院（投资咨询部）：0571-85165192，85058093 </w:t>
      </w:r>
      <w:r>
        <w:rPr>
          <w:rFonts w:hint="eastAsia" w:ascii="宋体" w:hAnsi="宋体"/>
          <w:color w:val="FFFFFF"/>
          <w:sz w:val="28"/>
        </w:rPr>
        <w:t xml:space="preserve"> </w:t>
      </w:r>
    </w:p>
    <w:p>
      <w:pPr>
        <w:jc w:val="center"/>
        <w:rPr>
          <w:rFonts w:ascii="宋体" w:hAnsi="宋体"/>
          <w:b/>
          <w:sz w:val="30"/>
        </w:rPr>
      </w:pPr>
      <w:r>
        <w:rPr>
          <w:rFonts w:hint="eastAsia" w:ascii="宋体" w:hAnsi="宋体"/>
          <w:b/>
          <w:sz w:val="30"/>
        </w:rPr>
        <w:t>新世纪期货盘前交易提示（</w:t>
      </w:r>
      <w:r>
        <w:rPr>
          <w:rFonts w:ascii="宋体" w:hAnsi="宋体"/>
          <w:b/>
          <w:sz w:val="30"/>
        </w:rPr>
        <w:fldChar w:fldCharType="begin"/>
      </w:r>
      <w:r>
        <w:rPr>
          <w:rFonts w:ascii="宋体" w:hAnsi="宋体"/>
          <w:b/>
          <w:sz w:val="30"/>
        </w:rPr>
        <w:instrText xml:space="preserve"> TIME \@ "yyyy-M-d" </w:instrText>
      </w:r>
      <w:r>
        <w:rPr>
          <w:rFonts w:ascii="宋体" w:hAnsi="宋体"/>
          <w:b/>
          <w:sz w:val="30"/>
        </w:rPr>
        <w:fldChar w:fldCharType="separate"/>
      </w:r>
      <w:r>
        <w:rPr>
          <w:rFonts w:ascii="宋体" w:hAnsi="宋体"/>
          <w:b/>
          <w:sz w:val="30"/>
        </w:rPr>
        <w:t>2019-5-30</w:t>
      </w:r>
      <w:r>
        <w:rPr>
          <w:rFonts w:ascii="宋体" w:hAnsi="宋体"/>
          <w:b/>
          <w:sz w:val="30"/>
        </w:rPr>
        <w:fldChar w:fldCharType="end"/>
      </w:r>
      <w:r>
        <w:rPr>
          <w:rFonts w:hint="eastAsia" w:ascii="宋体" w:hAnsi="宋体"/>
          <w:b/>
          <w:sz w:val="30"/>
        </w:rPr>
        <w:t>）</w:t>
      </w:r>
    </w:p>
    <w:p>
      <w:pPr>
        <w:widowControl/>
        <w:numPr>
          <w:ilvl w:val="0"/>
          <w:numId w:val="1"/>
        </w:numPr>
        <w:spacing w:line="300" w:lineRule="auto"/>
        <w:jc w:val="left"/>
        <w:rPr>
          <w:b/>
          <w:sz w:val="24"/>
        </w:rPr>
      </w:pPr>
      <w:r>
        <w:rPr>
          <w:rFonts w:hint="eastAsia"/>
          <w:b/>
          <w:sz w:val="24"/>
        </w:rPr>
        <w:t>重点推荐品种操作策略</w:t>
      </w:r>
    </w:p>
    <w:tbl>
      <w:tblPr>
        <w:tblStyle w:val="88"/>
        <w:tblW w:w="9769" w:type="dxa"/>
        <w:tblInd w:w="0" w:type="dxa"/>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
      <w:tblGrid>
        <w:gridCol w:w="1418"/>
        <w:gridCol w:w="1134"/>
        <w:gridCol w:w="1984"/>
        <w:gridCol w:w="1276"/>
        <w:gridCol w:w="1276"/>
        <w:gridCol w:w="1425"/>
        <w:gridCol w:w="1256"/>
      </w:tblGrid>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29" w:hRule="atLeast"/>
        </w:trPr>
        <w:tc>
          <w:tcPr>
            <w:tcW w:w="8513" w:type="dxa"/>
            <w:gridSpan w:val="6"/>
          </w:tcPr>
          <w:p>
            <w:pPr>
              <w:widowControl/>
              <w:spacing w:line="300" w:lineRule="auto"/>
              <w:jc w:val="center"/>
              <w:rPr>
                <w:rFonts w:ascii="宋体" w:hAnsi="宋体"/>
                <w:b/>
                <w:sz w:val="24"/>
              </w:rPr>
            </w:pPr>
            <w:r>
              <w:rPr>
                <w:rFonts w:hint="eastAsia" w:ascii="宋体" w:hAnsi="宋体"/>
                <w:b/>
                <w:sz w:val="24"/>
              </w:rPr>
              <w:t>重点推荐品种交易策略参考</w:t>
            </w:r>
          </w:p>
        </w:tc>
        <w:tc>
          <w:tcPr>
            <w:tcW w:w="1256" w:type="dxa"/>
          </w:tcPr>
          <w:p>
            <w:pPr>
              <w:widowControl/>
              <w:spacing w:line="300" w:lineRule="auto"/>
              <w:jc w:val="center"/>
              <w:rPr>
                <w:rFonts w:ascii="宋体" w:hAnsi="宋体"/>
                <w:b/>
                <w:sz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39" w:hRule="atLeast"/>
        </w:trPr>
        <w:tc>
          <w:tcPr>
            <w:tcW w:w="1418" w:type="dxa"/>
          </w:tcPr>
          <w:p>
            <w:pPr>
              <w:widowControl/>
              <w:spacing w:line="300" w:lineRule="auto"/>
              <w:jc w:val="center"/>
              <w:rPr>
                <w:rFonts w:ascii="宋体" w:hAnsi="宋体"/>
                <w:b/>
                <w:sz w:val="24"/>
              </w:rPr>
            </w:pPr>
            <w:r>
              <w:rPr>
                <w:rFonts w:hint="eastAsia" w:ascii="宋体" w:hAnsi="宋体"/>
                <w:b/>
                <w:sz w:val="24"/>
              </w:rPr>
              <w:t>品种</w:t>
            </w:r>
          </w:p>
        </w:tc>
        <w:tc>
          <w:tcPr>
            <w:tcW w:w="1134" w:type="dxa"/>
          </w:tcPr>
          <w:p>
            <w:pPr>
              <w:widowControl/>
              <w:spacing w:line="300" w:lineRule="auto"/>
              <w:ind w:firstLine="241" w:firstLineChars="100"/>
              <w:rPr>
                <w:rFonts w:ascii="宋体" w:hAnsi="宋体"/>
                <w:b/>
                <w:sz w:val="24"/>
              </w:rPr>
            </w:pPr>
            <w:r>
              <w:rPr>
                <w:rFonts w:hint="eastAsia" w:ascii="宋体" w:hAnsi="宋体"/>
                <w:b/>
                <w:sz w:val="24"/>
              </w:rPr>
              <w:t>方向</w:t>
            </w:r>
          </w:p>
        </w:tc>
        <w:tc>
          <w:tcPr>
            <w:tcW w:w="1984" w:type="dxa"/>
          </w:tcPr>
          <w:p>
            <w:pPr>
              <w:spacing w:line="300" w:lineRule="auto"/>
              <w:jc w:val="center"/>
              <w:rPr>
                <w:rFonts w:ascii="宋体" w:hAnsi="宋体"/>
                <w:b/>
                <w:sz w:val="24"/>
              </w:rPr>
            </w:pPr>
            <w:r>
              <w:rPr>
                <w:rFonts w:hint="eastAsia" w:ascii="宋体" w:hAnsi="宋体"/>
                <w:b/>
                <w:sz w:val="24"/>
              </w:rPr>
              <w:t>入场</w:t>
            </w:r>
          </w:p>
        </w:tc>
        <w:tc>
          <w:tcPr>
            <w:tcW w:w="1276" w:type="dxa"/>
          </w:tcPr>
          <w:p>
            <w:pPr>
              <w:widowControl/>
              <w:spacing w:line="300" w:lineRule="auto"/>
              <w:jc w:val="center"/>
              <w:rPr>
                <w:rFonts w:ascii="宋体" w:hAnsi="宋体"/>
                <w:b/>
                <w:sz w:val="24"/>
              </w:rPr>
            </w:pPr>
            <w:r>
              <w:rPr>
                <w:rFonts w:hint="eastAsia" w:ascii="宋体" w:hAnsi="宋体"/>
                <w:b/>
                <w:sz w:val="24"/>
              </w:rPr>
              <w:t>止损</w:t>
            </w:r>
          </w:p>
        </w:tc>
        <w:tc>
          <w:tcPr>
            <w:tcW w:w="1276" w:type="dxa"/>
          </w:tcPr>
          <w:p>
            <w:pPr>
              <w:widowControl/>
              <w:spacing w:line="300" w:lineRule="auto"/>
              <w:jc w:val="center"/>
              <w:rPr>
                <w:rFonts w:ascii="宋体" w:hAnsi="宋体"/>
                <w:b/>
                <w:sz w:val="24"/>
              </w:rPr>
            </w:pPr>
            <w:r>
              <w:rPr>
                <w:rFonts w:hint="eastAsia" w:ascii="宋体" w:hAnsi="宋体"/>
                <w:b/>
                <w:sz w:val="24"/>
              </w:rPr>
              <w:t>止盈</w:t>
            </w:r>
          </w:p>
        </w:tc>
        <w:tc>
          <w:tcPr>
            <w:tcW w:w="1425" w:type="dxa"/>
          </w:tcPr>
          <w:p>
            <w:pPr>
              <w:widowControl/>
              <w:spacing w:line="300" w:lineRule="auto"/>
              <w:jc w:val="center"/>
              <w:rPr>
                <w:rFonts w:ascii="宋体" w:hAnsi="宋体"/>
                <w:b/>
                <w:sz w:val="24"/>
              </w:rPr>
            </w:pPr>
            <w:r>
              <w:rPr>
                <w:rFonts w:hint="eastAsia" w:ascii="宋体" w:hAnsi="宋体"/>
                <w:b/>
                <w:sz w:val="24"/>
              </w:rPr>
              <w:t>状态</w:t>
            </w:r>
          </w:p>
        </w:tc>
        <w:tc>
          <w:tcPr>
            <w:tcW w:w="1256" w:type="dxa"/>
          </w:tcPr>
          <w:p>
            <w:pPr>
              <w:widowControl/>
              <w:spacing w:line="300" w:lineRule="auto"/>
              <w:jc w:val="center"/>
              <w:rPr>
                <w:rFonts w:ascii="宋体" w:hAnsi="宋体"/>
                <w:b/>
                <w:sz w:val="24"/>
              </w:rPr>
            </w:pPr>
            <w:r>
              <w:rPr>
                <w:rFonts w:hint="eastAsia" w:ascii="宋体" w:hAnsi="宋体"/>
                <w:b/>
                <w:sz w:val="24"/>
              </w:rPr>
              <w:t>日期</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61" w:hRule="atLeast"/>
        </w:trPr>
        <w:tc>
          <w:tcPr>
            <w:tcW w:w="1418" w:type="dxa"/>
          </w:tcPr>
          <w:p>
            <w:pPr>
              <w:widowControl/>
              <w:jc w:val="center"/>
              <w:rPr>
                <w:rFonts w:hint="eastAsia" w:ascii="宋体" w:hAnsi="宋体" w:cs="宋体"/>
                <w:kern w:val="0"/>
                <w:sz w:val="24"/>
                <w:szCs w:val="24"/>
              </w:rPr>
            </w:pPr>
            <w:r>
              <w:rPr>
                <w:rFonts w:hint="eastAsia" w:ascii="宋体" w:hAnsi="宋体" w:cs="宋体"/>
                <w:kern w:val="0"/>
                <w:sz w:val="24"/>
                <w:szCs w:val="24"/>
              </w:rPr>
              <w:t xml:space="preserve">y1909  </w:t>
            </w:r>
          </w:p>
        </w:tc>
        <w:tc>
          <w:tcPr>
            <w:tcW w:w="1134" w:type="dxa"/>
          </w:tcPr>
          <w:p>
            <w:pPr>
              <w:tabs>
                <w:tab w:val="left" w:pos="390"/>
              </w:tabs>
              <w:ind w:firstLine="480" w:firstLineChars="200"/>
              <w:rPr>
                <w:rFonts w:hint="eastAsia" w:asciiTheme="minorEastAsia" w:hAnsiTheme="minorEastAsia" w:eastAsiaTheme="minorEastAsia"/>
                <w:kern w:val="0"/>
                <w:sz w:val="24"/>
              </w:rPr>
            </w:pPr>
            <w:r>
              <w:rPr>
                <w:rFonts w:hint="eastAsia" w:ascii="宋体" w:hAnsi="宋体" w:cs="宋体"/>
                <w:kern w:val="0"/>
                <w:sz w:val="24"/>
                <w:szCs w:val="24"/>
              </w:rPr>
              <w:t xml:space="preserve">空   </w:t>
            </w:r>
          </w:p>
        </w:tc>
        <w:tc>
          <w:tcPr>
            <w:tcW w:w="1984" w:type="dxa"/>
          </w:tcPr>
          <w:p>
            <w:pPr>
              <w:tabs>
                <w:tab w:val="left" w:pos="390"/>
              </w:tabs>
              <w:jc w:val="center"/>
              <w:rPr>
                <w:rFonts w:hint="eastAsia" w:ascii="宋体" w:hAnsi="宋体" w:cs="宋体"/>
                <w:kern w:val="0"/>
                <w:sz w:val="24"/>
                <w:szCs w:val="24"/>
              </w:rPr>
            </w:pPr>
            <w:r>
              <w:rPr>
                <w:rFonts w:hint="eastAsia" w:ascii="宋体" w:hAnsi="宋体" w:cs="宋体"/>
                <w:kern w:val="0"/>
                <w:sz w:val="24"/>
                <w:szCs w:val="24"/>
              </w:rPr>
              <w:t xml:space="preserve">5390-5440     </w:t>
            </w:r>
          </w:p>
        </w:tc>
        <w:tc>
          <w:tcPr>
            <w:tcW w:w="1276" w:type="dxa"/>
          </w:tcPr>
          <w:p>
            <w:pPr>
              <w:jc w:val="center"/>
              <w:rPr>
                <w:rFonts w:hint="eastAsia" w:ascii="宋体" w:hAnsi="宋体" w:cs="宋体"/>
                <w:kern w:val="0"/>
                <w:sz w:val="24"/>
                <w:szCs w:val="24"/>
              </w:rPr>
            </w:pPr>
            <w:r>
              <w:rPr>
                <w:rFonts w:hint="eastAsia" w:ascii="宋体" w:hAnsi="宋体" w:cs="宋体"/>
                <w:kern w:val="0"/>
                <w:sz w:val="24"/>
                <w:szCs w:val="24"/>
              </w:rPr>
              <w:t xml:space="preserve">5360     </w:t>
            </w:r>
          </w:p>
        </w:tc>
        <w:tc>
          <w:tcPr>
            <w:tcW w:w="1276" w:type="dxa"/>
          </w:tcPr>
          <w:p>
            <w:pPr>
              <w:jc w:val="center"/>
              <w:rPr>
                <w:rFonts w:hint="eastAsia" w:ascii="宋体" w:hAnsi="宋体" w:cs="宋体"/>
                <w:kern w:val="0"/>
                <w:sz w:val="24"/>
                <w:szCs w:val="24"/>
              </w:rPr>
            </w:pPr>
            <w:r>
              <w:rPr>
                <w:rFonts w:hint="eastAsia" w:ascii="宋体" w:hAnsi="宋体" w:cs="宋体"/>
                <w:kern w:val="0"/>
                <w:sz w:val="24"/>
                <w:szCs w:val="24"/>
              </w:rPr>
              <w:t>5100</w:t>
            </w:r>
          </w:p>
        </w:tc>
        <w:tc>
          <w:tcPr>
            <w:tcW w:w="1425" w:type="dxa"/>
          </w:tcPr>
          <w:p>
            <w:pPr>
              <w:jc w:val="center"/>
              <w:rPr>
                <w:rFonts w:hint="default" w:ascii="宋体" w:hAnsi="宋体"/>
                <w:kern w:val="0"/>
                <w:sz w:val="24"/>
                <w:lang w:val="en-US" w:eastAsia="zh-CN"/>
              </w:rPr>
            </w:pPr>
            <w:r>
              <w:rPr>
                <w:rFonts w:hint="eastAsia" w:ascii="宋体" w:hAnsi="宋体"/>
                <w:kern w:val="0"/>
                <w:sz w:val="24"/>
                <w:lang w:val="en-US" w:eastAsia="zh-CN"/>
              </w:rPr>
              <w:t>已止损</w:t>
            </w:r>
          </w:p>
        </w:tc>
        <w:tc>
          <w:tcPr>
            <w:tcW w:w="1256" w:type="dxa"/>
          </w:tcPr>
          <w:p>
            <w:pPr>
              <w:jc w:val="center"/>
              <w:rPr>
                <w:rFonts w:hint="default" w:ascii="宋体" w:hAnsi="宋体" w:eastAsia="宋体"/>
                <w:kern w:val="0"/>
                <w:sz w:val="24"/>
                <w:lang w:val="en-US" w:eastAsia="zh-CN"/>
              </w:rPr>
            </w:pPr>
            <w:r>
              <w:rPr>
                <w:rFonts w:hint="eastAsia" w:ascii="宋体" w:hAnsi="宋体"/>
                <w:kern w:val="0"/>
                <w:sz w:val="24"/>
              </w:rPr>
              <w:t>19.05.</w:t>
            </w:r>
            <w:r>
              <w:rPr>
                <w:rFonts w:hint="eastAsia" w:ascii="宋体" w:hAnsi="宋体"/>
                <w:kern w:val="0"/>
                <w:sz w:val="24"/>
                <w:lang w:val="en-US" w:eastAsia="zh-CN"/>
              </w:rPr>
              <w:t>30</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61" w:hRule="atLeast"/>
        </w:trPr>
        <w:tc>
          <w:tcPr>
            <w:tcW w:w="1418" w:type="dxa"/>
          </w:tcPr>
          <w:p>
            <w:pPr>
              <w:widowControl/>
              <w:jc w:val="center"/>
              <w:rPr>
                <w:rFonts w:hint="eastAsia" w:ascii="宋体" w:hAnsi="宋体" w:cs="宋体"/>
                <w:kern w:val="0"/>
                <w:sz w:val="24"/>
                <w:szCs w:val="24"/>
              </w:rPr>
            </w:pPr>
            <w:r>
              <w:rPr>
                <w:rFonts w:hint="eastAsia" w:ascii="宋体" w:hAnsi="宋体" w:cs="宋体"/>
                <w:kern w:val="0"/>
                <w:sz w:val="24"/>
                <w:szCs w:val="24"/>
              </w:rPr>
              <w:t xml:space="preserve">p909   </w:t>
            </w:r>
          </w:p>
        </w:tc>
        <w:tc>
          <w:tcPr>
            <w:tcW w:w="1134" w:type="dxa"/>
          </w:tcPr>
          <w:p>
            <w:pPr>
              <w:widowControl/>
              <w:jc w:val="center"/>
              <w:rPr>
                <w:rFonts w:hint="eastAsia" w:asciiTheme="minorEastAsia" w:hAnsiTheme="minorEastAsia" w:eastAsiaTheme="minorEastAsia"/>
                <w:kern w:val="0"/>
                <w:sz w:val="24"/>
              </w:rPr>
            </w:pPr>
            <w:r>
              <w:rPr>
                <w:rFonts w:hint="eastAsia" w:ascii="宋体" w:hAnsi="宋体" w:cs="宋体"/>
                <w:kern w:val="0"/>
                <w:sz w:val="24"/>
                <w:szCs w:val="24"/>
                <w:lang w:val="en-US" w:eastAsia="zh-CN"/>
              </w:rPr>
              <w:t xml:space="preserve">  </w:t>
            </w:r>
            <w:r>
              <w:rPr>
                <w:rFonts w:hint="eastAsia" w:ascii="宋体" w:hAnsi="宋体" w:cs="宋体"/>
                <w:kern w:val="0"/>
                <w:sz w:val="24"/>
                <w:szCs w:val="24"/>
              </w:rPr>
              <w:t xml:space="preserve">空   </w:t>
            </w:r>
          </w:p>
        </w:tc>
        <w:tc>
          <w:tcPr>
            <w:tcW w:w="1984" w:type="dxa"/>
          </w:tcPr>
          <w:p>
            <w:pPr>
              <w:widowControl/>
              <w:jc w:val="center"/>
              <w:rPr>
                <w:rFonts w:hint="eastAsia" w:ascii="宋体" w:hAnsi="宋体" w:cs="宋体"/>
                <w:kern w:val="0"/>
                <w:sz w:val="24"/>
                <w:szCs w:val="24"/>
              </w:rPr>
            </w:pPr>
            <w:r>
              <w:rPr>
                <w:rFonts w:hint="eastAsia" w:ascii="宋体" w:hAnsi="宋体" w:cs="宋体"/>
                <w:kern w:val="0"/>
                <w:sz w:val="24"/>
                <w:szCs w:val="24"/>
              </w:rPr>
              <w:t xml:space="preserve">4400-4450    </w:t>
            </w:r>
          </w:p>
        </w:tc>
        <w:tc>
          <w:tcPr>
            <w:tcW w:w="1276" w:type="dxa"/>
          </w:tcPr>
          <w:p>
            <w:pPr>
              <w:jc w:val="center"/>
              <w:rPr>
                <w:rFonts w:hint="eastAsia" w:ascii="宋体" w:hAnsi="宋体" w:cs="宋体"/>
                <w:kern w:val="0"/>
                <w:sz w:val="24"/>
                <w:szCs w:val="24"/>
              </w:rPr>
            </w:pPr>
            <w:r>
              <w:rPr>
                <w:rFonts w:hint="eastAsia" w:ascii="宋体" w:hAnsi="宋体" w:cs="宋体"/>
                <w:kern w:val="0"/>
                <w:sz w:val="24"/>
                <w:szCs w:val="24"/>
              </w:rPr>
              <w:t xml:space="preserve">4470     </w:t>
            </w:r>
          </w:p>
        </w:tc>
        <w:tc>
          <w:tcPr>
            <w:tcW w:w="1276" w:type="dxa"/>
          </w:tcPr>
          <w:p>
            <w:pPr>
              <w:jc w:val="center"/>
              <w:rPr>
                <w:rFonts w:hint="eastAsia" w:ascii="宋体" w:hAnsi="宋体" w:cs="宋体"/>
                <w:kern w:val="0"/>
                <w:sz w:val="24"/>
                <w:szCs w:val="24"/>
              </w:rPr>
            </w:pPr>
            <w:r>
              <w:rPr>
                <w:rFonts w:hint="eastAsia" w:ascii="宋体" w:hAnsi="宋体" w:cs="宋体"/>
                <w:kern w:val="0"/>
                <w:sz w:val="24"/>
                <w:szCs w:val="24"/>
              </w:rPr>
              <w:t>4000</w:t>
            </w:r>
          </w:p>
        </w:tc>
        <w:tc>
          <w:tcPr>
            <w:tcW w:w="1425" w:type="dxa"/>
          </w:tcPr>
          <w:p>
            <w:pPr>
              <w:jc w:val="center"/>
              <w:rPr>
                <w:rFonts w:hint="default" w:ascii="宋体" w:hAnsi="宋体"/>
                <w:kern w:val="0"/>
                <w:sz w:val="24"/>
                <w:lang w:val="en-US" w:eastAsia="zh-CN"/>
              </w:rPr>
            </w:pPr>
            <w:r>
              <w:rPr>
                <w:rFonts w:hint="eastAsia" w:ascii="宋体" w:hAnsi="宋体"/>
                <w:kern w:val="0"/>
                <w:sz w:val="24"/>
                <w:lang w:val="en-US" w:eastAsia="zh-CN"/>
              </w:rPr>
              <w:t>已止损</w:t>
            </w:r>
          </w:p>
        </w:tc>
        <w:tc>
          <w:tcPr>
            <w:tcW w:w="1256" w:type="dxa"/>
          </w:tcPr>
          <w:p>
            <w:pPr>
              <w:jc w:val="center"/>
              <w:rPr>
                <w:rFonts w:hint="eastAsia" w:ascii="宋体" w:hAnsi="宋体"/>
                <w:kern w:val="0"/>
                <w:sz w:val="24"/>
              </w:rPr>
            </w:pPr>
            <w:r>
              <w:rPr>
                <w:rFonts w:hint="eastAsia" w:ascii="宋体" w:hAnsi="宋体"/>
                <w:kern w:val="0"/>
                <w:sz w:val="24"/>
              </w:rPr>
              <w:t>19.05.</w:t>
            </w:r>
            <w:r>
              <w:rPr>
                <w:rFonts w:hint="eastAsia" w:ascii="宋体" w:hAnsi="宋体"/>
                <w:kern w:val="0"/>
                <w:sz w:val="24"/>
                <w:lang w:val="en-US" w:eastAsia="zh-CN"/>
              </w:rPr>
              <w:t>30</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361" w:hRule="atLeast"/>
        </w:trPr>
        <w:tc>
          <w:tcPr>
            <w:tcW w:w="1418" w:type="dxa"/>
          </w:tcPr>
          <w:p>
            <w:pPr>
              <w:keepNext w:val="0"/>
              <w:keepLines w:val="0"/>
              <w:widowControl/>
              <w:suppressLineNumbers w:val="0"/>
              <w:jc w:val="center"/>
              <w:rPr>
                <w:rFonts w:hint="eastAsia" w:ascii="宋体" w:hAnsi="宋体" w:cs="宋体"/>
                <w:kern w:val="0"/>
                <w:sz w:val="24"/>
                <w:szCs w:val="24"/>
              </w:rPr>
            </w:pPr>
            <w:r>
              <w:rPr>
                <w:rFonts w:ascii="宋体" w:hAnsi="宋体" w:eastAsia="宋体" w:cs="宋体"/>
                <w:kern w:val="0"/>
                <w:sz w:val="24"/>
                <w:szCs w:val="24"/>
                <w:lang w:val="en-US" w:eastAsia="zh-CN" w:bidi="ar"/>
              </w:rPr>
              <w:t>oi1909</w:t>
            </w:r>
          </w:p>
        </w:tc>
        <w:tc>
          <w:tcPr>
            <w:tcW w:w="1134" w:type="dxa"/>
          </w:tcPr>
          <w:p>
            <w:pPr>
              <w:tabs>
                <w:tab w:val="left" w:pos="390"/>
              </w:tabs>
              <w:jc w:val="center"/>
              <w:rPr>
                <w:rFonts w:hint="eastAsia" w:asciiTheme="minorEastAsia" w:hAnsiTheme="minorEastAsia" w:eastAsiaTheme="minorEastAsia"/>
                <w:kern w:val="0"/>
                <w:sz w:val="24"/>
              </w:rPr>
            </w:pPr>
            <w:r>
              <w:rPr>
                <w:rFonts w:hint="eastAsia" w:ascii="宋体" w:hAnsi="宋体" w:cs="宋体"/>
                <w:kern w:val="0"/>
                <w:sz w:val="24"/>
                <w:szCs w:val="24"/>
                <w:lang w:val="en-US" w:eastAsia="zh-CN" w:bidi="ar"/>
              </w:rPr>
              <w:t xml:space="preserve">  </w:t>
            </w:r>
            <w:r>
              <w:rPr>
                <w:rFonts w:ascii="宋体" w:hAnsi="宋体" w:eastAsia="宋体" w:cs="宋体"/>
                <w:kern w:val="0"/>
                <w:sz w:val="24"/>
                <w:szCs w:val="24"/>
                <w:lang w:val="en-US" w:eastAsia="zh-CN" w:bidi="ar"/>
              </w:rPr>
              <w:t>空</w:t>
            </w:r>
          </w:p>
        </w:tc>
        <w:tc>
          <w:tcPr>
            <w:tcW w:w="1984" w:type="dxa"/>
          </w:tcPr>
          <w:p>
            <w:pPr>
              <w:tabs>
                <w:tab w:val="left" w:pos="390"/>
              </w:tabs>
              <w:jc w:val="center"/>
              <w:rPr>
                <w:rFonts w:hint="eastAsia" w:ascii="宋体" w:hAnsi="宋体" w:cs="宋体"/>
                <w:kern w:val="0"/>
                <w:sz w:val="24"/>
                <w:szCs w:val="24"/>
              </w:rPr>
            </w:pPr>
            <w:r>
              <w:rPr>
                <w:rFonts w:ascii="宋体" w:hAnsi="宋体" w:eastAsia="宋体" w:cs="宋体"/>
                <w:kern w:val="0"/>
                <w:sz w:val="24"/>
                <w:szCs w:val="24"/>
                <w:lang w:val="en-US" w:eastAsia="zh-CN" w:bidi="ar"/>
              </w:rPr>
              <w:t> 7010-706</w:t>
            </w:r>
            <w:r>
              <w:rPr>
                <w:rFonts w:hint="eastAsia" w:ascii="宋体" w:hAnsi="宋体" w:cs="宋体"/>
                <w:kern w:val="0"/>
                <w:sz w:val="24"/>
                <w:szCs w:val="24"/>
                <w:lang w:val="en-US" w:eastAsia="zh-CN" w:bidi="ar"/>
              </w:rPr>
              <w:t>0</w:t>
            </w:r>
            <w:r>
              <w:rPr>
                <w:rFonts w:ascii="宋体" w:hAnsi="宋体" w:eastAsia="宋体" w:cs="宋体"/>
                <w:kern w:val="0"/>
                <w:sz w:val="24"/>
                <w:szCs w:val="24"/>
                <w:lang w:val="en-US" w:eastAsia="zh-CN" w:bidi="ar"/>
              </w:rPr>
              <w:t> </w:t>
            </w:r>
          </w:p>
        </w:tc>
        <w:tc>
          <w:tcPr>
            <w:tcW w:w="1276" w:type="dxa"/>
          </w:tcPr>
          <w:p>
            <w:pPr>
              <w:jc w:val="center"/>
              <w:rPr>
                <w:rFonts w:hint="eastAsia" w:ascii="宋体" w:hAnsi="宋体" w:cs="宋体"/>
                <w:kern w:val="0"/>
                <w:sz w:val="24"/>
                <w:szCs w:val="24"/>
              </w:rPr>
            </w:pPr>
            <w:r>
              <w:rPr>
                <w:rFonts w:hint="eastAsia" w:ascii="宋体" w:hAnsi="宋体" w:cs="宋体"/>
                <w:kern w:val="0"/>
                <w:sz w:val="24"/>
                <w:szCs w:val="24"/>
                <w:lang w:val="en-US" w:eastAsia="zh-CN" w:bidi="ar"/>
              </w:rPr>
              <w:t xml:space="preserve">  </w:t>
            </w:r>
            <w:r>
              <w:rPr>
                <w:rFonts w:ascii="宋体" w:hAnsi="宋体" w:eastAsia="宋体" w:cs="宋体"/>
                <w:kern w:val="0"/>
                <w:sz w:val="24"/>
                <w:szCs w:val="24"/>
                <w:lang w:val="en-US" w:eastAsia="zh-CN" w:bidi="ar"/>
              </w:rPr>
              <w:t>7095 </w:t>
            </w:r>
          </w:p>
        </w:tc>
        <w:tc>
          <w:tcPr>
            <w:tcW w:w="1276" w:type="dxa"/>
          </w:tcPr>
          <w:p>
            <w:pPr>
              <w:jc w:val="center"/>
              <w:rPr>
                <w:rFonts w:hint="eastAsia" w:ascii="宋体" w:hAnsi="宋体" w:cs="宋体"/>
                <w:kern w:val="0"/>
                <w:sz w:val="24"/>
                <w:szCs w:val="24"/>
              </w:rPr>
            </w:pPr>
            <w:r>
              <w:rPr>
                <w:rFonts w:ascii="宋体" w:hAnsi="宋体" w:eastAsia="宋体" w:cs="宋体"/>
                <w:kern w:val="0"/>
                <w:sz w:val="24"/>
                <w:szCs w:val="24"/>
                <w:lang w:val="en-US" w:eastAsia="zh-CN" w:bidi="ar"/>
              </w:rPr>
              <w:t>6700</w:t>
            </w:r>
          </w:p>
        </w:tc>
        <w:tc>
          <w:tcPr>
            <w:tcW w:w="1425" w:type="dxa"/>
          </w:tcPr>
          <w:p>
            <w:pPr>
              <w:jc w:val="center"/>
              <w:rPr>
                <w:rFonts w:hint="default" w:ascii="宋体" w:hAnsi="宋体"/>
                <w:kern w:val="0"/>
                <w:sz w:val="24"/>
                <w:lang w:val="en-US" w:eastAsia="zh-CN"/>
              </w:rPr>
            </w:pPr>
            <w:r>
              <w:rPr>
                <w:rFonts w:hint="eastAsia" w:ascii="宋体" w:hAnsi="宋体"/>
                <w:kern w:val="0"/>
                <w:sz w:val="24"/>
                <w:lang w:val="en-US" w:eastAsia="zh-CN"/>
              </w:rPr>
              <w:t>已止损</w:t>
            </w:r>
          </w:p>
        </w:tc>
        <w:tc>
          <w:tcPr>
            <w:tcW w:w="1256" w:type="dxa"/>
          </w:tcPr>
          <w:p>
            <w:pPr>
              <w:jc w:val="center"/>
              <w:rPr>
                <w:rFonts w:hint="eastAsia" w:ascii="宋体" w:hAnsi="宋体"/>
                <w:kern w:val="0"/>
                <w:sz w:val="24"/>
              </w:rPr>
            </w:pPr>
            <w:r>
              <w:rPr>
                <w:rFonts w:hint="eastAsia" w:ascii="宋体" w:hAnsi="宋体"/>
                <w:kern w:val="0"/>
                <w:sz w:val="24"/>
              </w:rPr>
              <w:t>19.05.</w:t>
            </w:r>
            <w:r>
              <w:rPr>
                <w:rFonts w:hint="eastAsia" w:ascii="宋体" w:hAnsi="宋体"/>
                <w:kern w:val="0"/>
                <w:sz w:val="24"/>
                <w:lang w:val="en-US" w:eastAsia="zh-CN"/>
              </w:rPr>
              <w:t>30</w:t>
            </w:r>
          </w:p>
        </w:tc>
      </w:tr>
    </w:tbl>
    <w:p>
      <w:pPr>
        <w:widowControl/>
        <w:numPr>
          <w:ilvl w:val="0"/>
          <w:numId w:val="1"/>
        </w:numPr>
        <w:spacing w:line="300" w:lineRule="auto"/>
        <w:jc w:val="left"/>
        <w:rPr>
          <w:sz w:val="24"/>
        </w:rPr>
      </w:pPr>
      <w:bookmarkStart w:id="0" w:name="OLE_LINK7"/>
      <w:bookmarkStart w:id="1" w:name="OLE_LINK6"/>
      <w:bookmarkStart w:id="2" w:name="OLE_LINK1"/>
      <w:r>
        <w:rPr>
          <w:rFonts w:hint="eastAsia"/>
          <w:sz w:val="24"/>
        </w:rPr>
        <w:t>市场点评</w:t>
      </w:r>
    </w:p>
    <w:tbl>
      <w:tblPr>
        <w:tblStyle w:val="88"/>
        <w:tblW w:w="9889" w:type="dxa"/>
        <w:jc w:val="center"/>
        <w:tblInd w:w="0" w:type="dxa"/>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
      <w:tblGrid>
        <w:gridCol w:w="428"/>
        <w:gridCol w:w="928"/>
        <w:gridCol w:w="1165"/>
        <w:gridCol w:w="7368"/>
      </w:tblGrid>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963" w:hRule="atLeast"/>
          <w:jc w:val="center"/>
        </w:trPr>
        <w:tc>
          <w:tcPr>
            <w:tcW w:w="428" w:type="dxa"/>
            <w:vMerge w:val="restart"/>
            <w:vAlign w:val="center"/>
          </w:tcPr>
          <w:p>
            <w:pPr>
              <w:jc w:val="center"/>
              <w:rPr>
                <w:rFonts w:ascii="宋体" w:hAnsi="宋体"/>
                <w:b/>
                <w:sz w:val="24"/>
                <w:szCs w:val="21"/>
              </w:rPr>
            </w:pPr>
            <w:r>
              <w:rPr>
                <w:rFonts w:hint="eastAsia" w:ascii="宋体" w:hAnsi="宋体"/>
                <w:b/>
                <w:sz w:val="24"/>
                <w:szCs w:val="21"/>
              </w:rPr>
              <w:t>股指</w:t>
            </w:r>
          </w:p>
        </w:tc>
        <w:tc>
          <w:tcPr>
            <w:tcW w:w="928" w:type="dxa"/>
          </w:tcPr>
          <w:p>
            <w:pPr>
              <w:jc w:val="center"/>
              <w:rPr>
                <w:rFonts w:ascii="宋体" w:hAnsi="宋体"/>
              </w:rPr>
            </w:pPr>
          </w:p>
          <w:p>
            <w:pPr>
              <w:jc w:val="center"/>
              <w:rPr>
                <w:rFonts w:ascii="宋体" w:hAnsi="宋体"/>
                <w:szCs w:val="21"/>
              </w:rPr>
            </w:pPr>
            <w:r>
              <w:rPr>
                <w:rFonts w:hint="eastAsia" w:ascii="宋体" w:hAnsi="宋体"/>
              </w:rPr>
              <w:t>IH</w:t>
            </w:r>
          </w:p>
        </w:tc>
        <w:tc>
          <w:tcPr>
            <w:tcW w:w="1165" w:type="dxa"/>
          </w:tcPr>
          <w:p>
            <w:pPr>
              <w:jc w:val="center"/>
              <w:rPr>
                <w:rFonts w:ascii="宋体" w:hAnsi="宋体"/>
              </w:rPr>
            </w:pPr>
          </w:p>
          <w:p>
            <w:pPr>
              <w:jc w:val="center"/>
              <w:rPr>
                <w:rFonts w:ascii="宋体" w:hAnsi="宋体"/>
                <w:szCs w:val="21"/>
              </w:rPr>
            </w:pPr>
            <w:r>
              <w:rPr>
                <w:rFonts w:hint="eastAsia" w:ascii="宋体" w:hAnsi="宋体"/>
                <w:szCs w:val="21"/>
              </w:rPr>
              <w:t>震荡</w:t>
            </w:r>
          </w:p>
        </w:tc>
        <w:tc>
          <w:tcPr>
            <w:tcW w:w="7368" w:type="dxa"/>
            <w:vMerge w:val="restart"/>
            <w:shd w:val="clear" w:color="auto" w:fill="auto"/>
          </w:tcPr>
          <w:p>
            <w:pPr>
              <w:keepNext w:val="0"/>
              <w:keepLines w:val="0"/>
              <w:widowControl/>
              <w:suppressLineNumbers w:val="0"/>
              <w:jc w:val="left"/>
            </w:pPr>
            <w:r>
              <w:rPr>
                <w:rFonts w:ascii="宋体" w:hAnsi="宋体" w:eastAsia="宋体" w:cs="宋体"/>
                <w:kern w:val="0"/>
                <w:sz w:val="24"/>
                <w:szCs w:val="24"/>
                <w:lang w:val="en-US" w:eastAsia="zh-CN" w:bidi="ar"/>
              </w:rPr>
              <w:t xml:space="preserve">IH：消息面4月工业利润走弱，包商银行事件掀起了新一轮的金融监控，总体看实体经济还在寻底，但包商银行事件可能是银行体系融资链断裂的冰山一角，注意城商行整体风险。目前IH贴水严重，预计大盘会完成一次补缺动作，严防风险。 </w:t>
            </w:r>
          </w:p>
          <w:p>
            <w:pPr>
              <w:keepNext w:val="0"/>
              <w:keepLines w:val="0"/>
              <w:widowControl/>
              <w:suppressLineNumbers w:val="0"/>
              <w:jc w:val="left"/>
            </w:pPr>
            <w:r>
              <w:rPr>
                <w:rFonts w:ascii="宋体" w:hAnsi="宋体" w:eastAsia="宋体" w:cs="宋体"/>
                <w:kern w:val="0"/>
                <w:sz w:val="24"/>
                <w:szCs w:val="24"/>
                <w:lang w:val="en-US" w:eastAsia="zh-CN" w:bidi="ar"/>
              </w:rPr>
              <w:t xml:space="preserve">IF:与IH相同，短期贴水严重很可能指数完成一次跳水修复。 </w:t>
            </w:r>
          </w:p>
          <w:p>
            <w:pPr>
              <w:keepNext w:val="0"/>
              <w:keepLines w:val="0"/>
              <w:widowControl/>
              <w:suppressLineNumbers w:val="0"/>
              <w:jc w:val="left"/>
            </w:pPr>
            <w:r>
              <w:rPr>
                <w:rFonts w:ascii="宋体" w:hAnsi="宋体" w:eastAsia="宋体" w:cs="宋体"/>
                <w:kern w:val="0"/>
                <w:sz w:val="24"/>
                <w:szCs w:val="24"/>
                <w:lang w:val="en-US" w:eastAsia="zh-CN" w:bidi="ar"/>
              </w:rPr>
              <w:t xml:space="preserve">IC:在市场超跌的背景下，华为概念持续活跃，但目前基本面较好的科技蓝筹资金流出严重，基本面派与游资分歧极大，指数级别行情仍然难以出现，观望为主。 </w:t>
            </w:r>
          </w:p>
          <w:p>
            <w:pPr>
              <w:keepNext w:val="0"/>
              <w:keepLines w:val="0"/>
              <w:widowControl/>
              <w:suppressLineNumbers w:val="0"/>
              <w:jc w:val="left"/>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85"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rPr>
              <w:t>IF</w:t>
            </w:r>
          </w:p>
        </w:tc>
        <w:tc>
          <w:tcPr>
            <w:tcW w:w="1165" w:type="dxa"/>
            <w:vAlign w:val="center"/>
          </w:tcPr>
          <w:p>
            <w:pPr>
              <w:jc w:val="center"/>
              <w:rPr>
                <w:rFonts w:ascii="宋体" w:hAnsi="宋体"/>
                <w:szCs w:val="21"/>
              </w:rPr>
            </w:pPr>
            <w:r>
              <w:rPr>
                <w:rFonts w:hint="eastAsia" w:ascii="宋体" w:hAnsi="宋体"/>
                <w:szCs w:val="21"/>
              </w:rPr>
              <w:t>看空</w:t>
            </w:r>
          </w:p>
        </w:tc>
        <w:tc>
          <w:tcPr>
            <w:tcW w:w="7368" w:type="dxa"/>
            <w:vMerge w:val="continue"/>
            <w:shd w:val="clear" w:color="auto" w:fill="auto"/>
          </w:tcPr>
          <w:p>
            <w:pPr>
              <w:widowControl/>
              <w:jc w:val="left"/>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02"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rPr>
              <w:t>IC</w:t>
            </w:r>
          </w:p>
        </w:tc>
        <w:tc>
          <w:tcPr>
            <w:tcW w:w="1165" w:type="dxa"/>
            <w:vAlign w:val="center"/>
          </w:tcPr>
          <w:p>
            <w:pPr>
              <w:jc w:val="center"/>
              <w:rPr>
                <w:rFonts w:ascii="宋体" w:hAnsi="宋体"/>
                <w:szCs w:val="21"/>
              </w:rPr>
            </w:pPr>
            <w:r>
              <w:rPr>
                <w:rFonts w:hint="eastAsia" w:ascii="宋体" w:hAnsi="宋体"/>
                <w:szCs w:val="21"/>
              </w:rPr>
              <w:t>弱势震荡</w:t>
            </w:r>
          </w:p>
        </w:tc>
        <w:tc>
          <w:tcPr>
            <w:tcW w:w="7368" w:type="dxa"/>
            <w:vMerge w:val="continue"/>
            <w:shd w:val="clear" w:color="auto" w:fill="auto"/>
          </w:tcPr>
          <w:p>
            <w:pPr>
              <w:widowControl/>
              <w:jc w:val="left"/>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963" w:hRule="atLeast"/>
          <w:jc w:val="center"/>
        </w:trPr>
        <w:tc>
          <w:tcPr>
            <w:tcW w:w="428" w:type="dxa"/>
            <w:vMerge w:val="restart"/>
            <w:vAlign w:val="center"/>
          </w:tcPr>
          <w:p>
            <w:pPr>
              <w:jc w:val="center"/>
              <w:rPr>
                <w:rFonts w:ascii="宋体" w:hAnsi="宋体"/>
                <w:b/>
                <w:sz w:val="24"/>
                <w:szCs w:val="21"/>
              </w:rPr>
            </w:pPr>
          </w:p>
          <w:p>
            <w:pPr>
              <w:jc w:val="center"/>
              <w:rPr>
                <w:rFonts w:ascii="宋体" w:hAnsi="宋体"/>
                <w:b/>
                <w:sz w:val="24"/>
                <w:szCs w:val="21"/>
              </w:rPr>
            </w:pPr>
            <w:r>
              <w:rPr>
                <w:rFonts w:hint="eastAsia" w:ascii="宋体" w:hAnsi="宋体"/>
                <w:b/>
                <w:sz w:val="24"/>
                <w:szCs w:val="21"/>
              </w:rPr>
              <w:t>黑</w:t>
            </w:r>
          </w:p>
          <w:p>
            <w:pPr>
              <w:jc w:val="center"/>
              <w:rPr>
                <w:rFonts w:ascii="宋体" w:hAnsi="宋体"/>
                <w:b/>
                <w:sz w:val="24"/>
                <w:szCs w:val="21"/>
              </w:rPr>
            </w:pPr>
            <w:r>
              <w:rPr>
                <w:rFonts w:hint="eastAsia" w:ascii="宋体" w:hAnsi="宋体"/>
                <w:b/>
                <w:sz w:val="24"/>
                <w:szCs w:val="21"/>
              </w:rPr>
              <w:t>色</w:t>
            </w:r>
          </w:p>
          <w:p>
            <w:pPr>
              <w:jc w:val="center"/>
              <w:rPr>
                <w:rFonts w:ascii="宋体" w:hAnsi="宋体"/>
                <w:b/>
                <w:sz w:val="24"/>
                <w:szCs w:val="21"/>
              </w:rPr>
            </w:pPr>
            <w:r>
              <w:rPr>
                <w:rFonts w:hint="eastAsia" w:ascii="宋体" w:hAnsi="宋体"/>
                <w:b/>
                <w:sz w:val="24"/>
                <w:szCs w:val="21"/>
              </w:rPr>
              <w:t>产</w:t>
            </w:r>
          </w:p>
          <w:p>
            <w:pPr>
              <w:jc w:val="center"/>
              <w:rPr>
                <w:rFonts w:ascii="宋体" w:hAnsi="宋体"/>
                <w:b/>
                <w:sz w:val="24"/>
                <w:szCs w:val="21"/>
              </w:rPr>
            </w:pPr>
            <w:r>
              <w:rPr>
                <w:rFonts w:hint="eastAsia" w:ascii="宋体" w:hAnsi="宋体"/>
                <w:b/>
                <w:sz w:val="24"/>
                <w:szCs w:val="21"/>
              </w:rPr>
              <w:t>业</w:t>
            </w:r>
          </w:p>
        </w:tc>
        <w:tc>
          <w:tcPr>
            <w:tcW w:w="928" w:type="dxa"/>
          </w:tcPr>
          <w:p>
            <w:pPr>
              <w:rPr>
                <w:rFonts w:ascii="宋体" w:hAnsi="宋体"/>
                <w:szCs w:val="21"/>
              </w:rPr>
            </w:pPr>
          </w:p>
          <w:p>
            <w:pPr>
              <w:jc w:val="center"/>
              <w:rPr>
                <w:rFonts w:ascii="宋体" w:hAnsi="宋体"/>
                <w:szCs w:val="21"/>
              </w:rPr>
            </w:pPr>
            <w:r>
              <w:rPr>
                <w:rFonts w:hint="eastAsia" w:ascii="宋体" w:hAnsi="宋体"/>
                <w:szCs w:val="21"/>
              </w:rPr>
              <w:t>螺纹</w:t>
            </w:r>
          </w:p>
        </w:tc>
        <w:tc>
          <w:tcPr>
            <w:tcW w:w="1165" w:type="dxa"/>
          </w:tcPr>
          <w:p>
            <w:pPr>
              <w:rPr>
                <w:rFonts w:ascii="宋体" w:hAnsi="宋体"/>
                <w:szCs w:val="21"/>
              </w:rPr>
            </w:pPr>
          </w:p>
          <w:p>
            <w:pPr>
              <w:jc w:val="center"/>
              <w:rPr>
                <w:rFonts w:ascii="宋体" w:hAnsi="宋体"/>
                <w:szCs w:val="21"/>
              </w:rPr>
            </w:pPr>
            <w:r>
              <w:rPr>
                <w:rFonts w:hint="eastAsia" w:ascii="宋体" w:hAnsi="宋体"/>
                <w:szCs w:val="21"/>
              </w:rPr>
              <w:t>震荡</w:t>
            </w:r>
          </w:p>
        </w:tc>
        <w:tc>
          <w:tcPr>
            <w:tcW w:w="7368" w:type="dxa"/>
            <w:vMerge w:val="restart"/>
          </w:tcPr>
          <w:p>
            <w:pPr>
              <w:widowControl/>
              <w:jc w:val="left"/>
              <w:rPr>
                <w:rFonts w:hint="eastAsia"/>
              </w:rPr>
            </w:pPr>
            <w:r>
              <w:rPr>
                <w:rFonts w:hint="eastAsia"/>
              </w:rPr>
              <w:t>螺纹: 国内建筑钢材现货价格小幅回落，三级螺纹HRB400继续回落30至4030元/吨，螺纹期现货价差较大促进期货拉涨修复贴水,目前基差收敛至205元/吨。五月唐山环保限产，钢厂长流程高炉开工率和产能利用率在前周下降后又有所上升；上周全国高炉检修限产量环比有所下降，供应依旧高位。就成交量数据来看，短期需求有所回落，在进入六月梅雨季节后，表观需求即将进入季节性淡季，在供给高位的情况下，预计将对钢材现货产生一定压力，关注后续需求的可持续性。</w:t>
            </w:r>
          </w:p>
          <w:p>
            <w:pPr>
              <w:widowControl/>
              <w:jc w:val="left"/>
              <w:rPr>
                <w:rFonts w:hint="eastAsia"/>
              </w:rPr>
            </w:pPr>
            <w:r>
              <w:rPr>
                <w:rFonts w:hint="eastAsia"/>
              </w:rPr>
              <w:t>铁矿：供应端来看，vale矿难事件的影响已经在铁矿石发货量上体现，澳洲巴西铁矿总发货量环比上周有所回升，但五月铁矿整体发货量不及去年。高炉电炉产能持续释放，日均疏港量高位，钢厂高产意味着原料需求处于旺盛格局，港口库存也出现连续下降，需求端对铁矿石价格构成利多。成材高产量带动对炉料的高需求，矿价维持偏强走势，前期多单考虑盈利离场，做空者需谨慎。</w:t>
            </w:r>
          </w:p>
          <w:p>
            <w:pPr>
              <w:widowControl/>
              <w:jc w:val="left"/>
              <w:rPr>
                <w:rFonts w:ascii="宋体" w:hAnsi="宋体" w:cs="宋体"/>
                <w:kern w:val="0"/>
                <w:sz w:val="24"/>
                <w:szCs w:val="24"/>
              </w:rPr>
            </w:pPr>
            <w:r>
              <w:rPr>
                <w:rFonts w:hint="eastAsia"/>
              </w:rPr>
              <w:t>煤焦: 焦炭市场整体继续呈偏强态势，山西长治、晋中地区部分焦企开始第四轮提涨100元/吨，下游暂无回复。目前焦企订单、出货情况较好，需求良好支撑下焦企心态依旧良好；钢厂方面，个别钢厂焦炭库存偏低，整体因近期原料价格上涨，钢厂利润被压缩，抵触情绪将逐渐增强；港口方面，日照港163增1，青岛港267增2，港口总库存维持高位，报价有继续上涨；环保方面，山西地区仍暂无具体政策出台，近期环保督察组活动频繁，焦企生产有受小幅影响，整体开工与前期基本持平。综合来看，预计短期焦炭市场仍稳中偏强运行。</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182"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铁矿石</w:t>
            </w:r>
          </w:p>
        </w:tc>
        <w:tc>
          <w:tcPr>
            <w:tcW w:w="1165" w:type="dxa"/>
            <w:vAlign w:val="center"/>
          </w:tcPr>
          <w:p>
            <w:pPr>
              <w:jc w:val="center"/>
              <w:rPr>
                <w:rFonts w:ascii="宋体" w:hAnsi="宋体"/>
                <w:kern w:val="0"/>
                <w:szCs w:val="21"/>
              </w:rPr>
            </w:pPr>
            <w:r>
              <w:rPr>
                <w:rFonts w:hint="eastAsia" w:ascii="宋体" w:hAnsi="宋体"/>
              </w:rPr>
              <w:t>高位盘整</w:t>
            </w:r>
          </w:p>
        </w:tc>
        <w:tc>
          <w:tcPr>
            <w:tcW w:w="7368" w:type="dxa"/>
            <w:vMerge w:val="continue"/>
          </w:tcPr>
          <w:p>
            <w:pPr>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403"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ind w:firstLine="105" w:firstLineChars="50"/>
              <w:rPr>
                <w:rFonts w:ascii="宋体" w:hAnsi="宋体"/>
                <w:szCs w:val="21"/>
              </w:rPr>
            </w:pPr>
            <w:r>
              <w:rPr>
                <w:rFonts w:hint="eastAsia" w:ascii="宋体" w:hAnsi="宋体"/>
                <w:szCs w:val="21"/>
              </w:rPr>
              <w:t>焦煤</w:t>
            </w:r>
          </w:p>
        </w:tc>
        <w:tc>
          <w:tcPr>
            <w:tcW w:w="1165" w:type="dxa"/>
            <w:vAlign w:val="center"/>
          </w:tcPr>
          <w:p>
            <w:pPr>
              <w:jc w:val="center"/>
              <w:rPr>
                <w:rFonts w:ascii="宋体" w:hAnsi="宋体"/>
                <w:kern w:val="0"/>
                <w:szCs w:val="21"/>
              </w:rPr>
            </w:pPr>
            <w:r>
              <w:rPr>
                <w:rFonts w:hint="eastAsia" w:ascii="宋体" w:hAnsi="宋体"/>
                <w:kern w:val="0"/>
                <w:szCs w:val="21"/>
              </w:rPr>
              <w:t>偏多</w:t>
            </w:r>
          </w:p>
        </w:tc>
        <w:tc>
          <w:tcPr>
            <w:tcW w:w="7368" w:type="dxa"/>
            <w:vMerge w:val="continue"/>
          </w:tcPr>
          <w:p>
            <w:pPr>
              <w:rPr>
                <w:rFonts w:ascii="宋体" w:hAnsi="宋体" w:cs="宋体"/>
                <w:kern w:val="0"/>
                <w:sz w:val="24"/>
                <w:szCs w:val="24"/>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515"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焦炭</w:t>
            </w:r>
          </w:p>
        </w:tc>
        <w:tc>
          <w:tcPr>
            <w:tcW w:w="1165" w:type="dxa"/>
            <w:vAlign w:val="center"/>
          </w:tcPr>
          <w:p>
            <w:pPr>
              <w:widowControl/>
              <w:jc w:val="center"/>
              <w:rPr>
                <w:rFonts w:ascii="宋体" w:hAnsi="宋体"/>
                <w:szCs w:val="21"/>
              </w:rPr>
            </w:pPr>
            <w:r>
              <w:rPr>
                <w:rFonts w:hint="eastAsia" w:ascii="宋体" w:hAnsi="宋体"/>
                <w:szCs w:val="21"/>
              </w:rPr>
              <w:t>偏多</w:t>
            </w:r>
          </w:p>
        </w:tc>
        <w:tc>
          <w:tcPr>
            <w:tcW w:w="7368" w:type="dxa"/>
            <w:vMerge w:val="continue"/>
          </w:tcPr>
          <w:p>
            <w:pPr>
              <w:rPr>
                <w:rFonts w:ascii="宋体" w:hAnsi="宋体" w:cs="宋体"/>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40"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动力煤</w:t>
            </w:r>
          </w:p>
        </w:tc>
        <w:tc>
          <w:tcPr>
            <w:tcW w:w="1165" w:type="dxa"/>
            <w:vAlign w:val="center"/>
          </w:tcPr>
          <w:p>
            <w:pPr>
              <w:ind w:firstLine="105" w:firstLineChars="50"/>
              <w:jc w:val="center"/>
              <w:rPr>
                <w:rFonts w:ascii="宋体" w:hAnsi="宋体"/>
                <w:kern w:val="0"/>
                <w:szCs w:val="21"/>
              </w:rPr>
            </w:pPr>
            <w:r>
              <w:rPr>
                <w:rFonts w:hint="eastAsia" w:ascii="宋体" w:hAnsi="宋体"/>
                <w:kern w:val="0"/>
                <w:szCs w:val="21"/>
              </w:rPr>
              <w:t>震荡</w:t>
            </w:r>
          </w:p>
        </w:tc>
        <w:tc>
          <w:tcPr>
            <w:tcW w:w="7368" w:type="dxa"/>
            <w:vMerge w:val="continue"/>
          </w:tcPr>
          <w:p>
            <w:pPr>
              <w:rPr>
                <w:rFonts w:ascii="宋体" w:hAnsi="宋体" w:cs="宋体"/>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844" w:hRule="atLeast"/>
          <w:jc w:val="center"/>
        </w:trPr>
        <w:tc>
          <w:tcPr>
            <w:tcW w:w="428" w:type="dxa"/>
            <w:vMerge w:val="restart"/>
            <w:vAlign w:val="center"/>
          </w:tcPr>
          <w:p>
            <w:pPr>
              <w:jc w:val="center"/>
              <w:rPr>
                <w:rFonts w:ascii="宋体" w:hAnsi="宋体"/>
                <w:b/>
                <w:sz w:val="24"/>
                <w:szCs w:val="21"/>
              </w:rPr>
            </w:pPr>
            <w:r>
              <w:rPr>
                <w:rFonts w:hint="eastAsia" w:ascii="宋体" w:hAnsi="宋体"/>
                <w:b/>
                <w:sz w:val="24"/>
                <w:szCs w:val="21"/>
              </w:rPr>
              <w:t>有</w:t>
            </w:r>
          </w:p>
          <w:p>
            <w:pPr>
              <w:jc w:val="center"/>
              <w:rPr>
                <w:rFonts w:ascii="宋体" w:hAnsi="宋体"/>
                <w:b/>
                <w:sz w:val="24"/>
                <w:szCs w:val="21"/>
              </w:rPr>
            </w:pPr>
            <w:r>
              <w:rPr>
                <w:rFonts w:hint="eastAsia" w:ascii="宋体" w:hAnsi="宋体"/>
                <w:b/>
                <w:sz w:val="24"/>
                <w:szCs w:val="21"/>
              </w:rPr>
              <w:t>色</w:t>
            </w:r>
          </w:p>
        </w:tc>
        <w:tc>
          <w:tcPr>
            <w:tcW w:w="928" w:type="dxa"/>
            <w:vAlign w:val="center"/>
          </w:tcPr>
          <w:p>
            <w:pPr>
              <w:jc w:val="center"/>
              <w:rPr>
                <w:rFonts w:ascii="宋体" w:hAnsi="宋体"/>
                <w:szCs w:val="21"/>
              </w:rPr>
            </w:pPr>
            <w:r>
              <w:rPr>
                <w:rFonts w:hint="eastAsia" w:ascii="宋体" w:hAnsi="宋体"/>
                <w:szCs w:val="21"/>
              </w:rPr>
              <w:t>铜</w:t>
            </w:r>
          </w:p>
        </w:tc>
        <w:tc>
          <w:tcPr>
            <w:tcW w:w="1165" w:type="dxa"/>
            <w:vAlign w:val="center"/>
          </w:tcPr>
          <w:p>
            <w:pPr>
              <w:jc w:val="center"/>
              <w:rPr>
                <w:rFonts w:ascii="宋体" w:hAnsi="宋体"/>
                <w:szCs w:val="21"/>
              </w:rPr>
            </w:pPr>
            <w:r>
              <w:rPr>
                <w:rFonts w:ascii="宋体" w:hAnsi="宋体"/>
                <w:szCs w:val="21"/>
              </w:rPr>
              <w:t>震荡</w:t>
            </w:r>
          </w:p>
        </w:tc>
        <w:tc>
          <w:tcPr>
            <w:tcW w:w="7368" w:type="dxa"/>
            <w:vMerge w:val="restart"/>
          </w:tcPr>
          <w:p>
            <w:pPr>
              <w:rPr>
                <w:rFonts w:hint="eastAsia"/>
              </w:rPr>
            </w:pPr>
            <w:r>
              <w:rPr>
                <w:rFonts w:hint="eastAsia"/>
              </w:rPr>
              <w:t>铜:沪铜主力合约下跌，国内多地现货铜价下跌，长江现货1#铜价报46700元/吨，较前一交易日下跌390元/吨。显性库存进入去库阶段，CFTF净多头持仓下降，期权隐含波动率未明显偏离实际波动率，沪铜预计震荡加剧，优选比价交易，单边可选空头方向。</w:t>
            </w:r>
          </w:p>
          <w:p>
            <w:pPr>
              <w:rPr>
                <w:rFonts w:hint="eastAsia"/>
              </w:rPr>
            </w:pPr>
            <w:r>
              <w:rPr>
                <w:rFonts w:hint="eastAsia"/>
              </w:rPr>
              <w:t xml:space="preserve"> </w:t>
            </w:r>
          </w:p>
          <w:p>
            <w:pPr>
              <w:rPr>
                <w:rFonts w:hint="eastAsia"/>
              </w:rPr>
            </w:pPr>
            <w:r>
              <w:rPr>
                <w:rFonts w:hint="eastAsia"/>
              </w:rPr>
              <w:t>铝:沪铝主力小幅下跌，国内多地现货铝价下跌。广东南储报价14210-14310元/吨，较前一交易日下跌60元/吨。持货商出货积极，下游企业接货意愿下降，市场观望气氛加剧。建议多单减仓。</w:t>
            </w:r>
          </w:p>
          <w:p>
            <w:pPr>
              <w:rPr>
                <w:rFonts w:hint="eastAsia"/>
              </w:rPr>
            </w:pPr>
            <w:r>
              <w:rPr>
                <w:rFonts w:hint="eastAsia"/>
              </w:rPr>
              <w:t xml:space="preserve">  </w:t>
            </w:r>
          </w:p>
          <w:p>
            <w:pPr>
              <w:rPr>
                <w:rFonts w:hint="eastAsia"/>
              </w:rPr>
            </w:pPr>
            <w:r>
              <w:rPr>
                <w:rFonts w:hint="eastAsia"/>
              </w:rPr>
              <w:t>镍:沪镍主力合约下跌，国内多地现货镍价下跌。今日金川公司板状金川镍出厂价报98700元/吨，较前一交易日价格下跌500元/吨。金川镍升水小幅小幅收窄，贸易商采购偏向低价俄镍，成交良好。多单平仓，暂勿加仓。</w:t>
            </w:r>
          </w:p>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56"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铝</w:t>
            </w:r>
          </w:p>
        </w:tc>
        <w:tc>
          <w:tcPr>
            <w:tcW w:w="1165" w:type="dxa"/>
            <w:vAlign w:val="center"/>
          </w:tcPr>
          <w:p>
            <w:pPr>
              <w:jc w:val="center"/>
              <w:rPr>
                <w:rFonts w:ascii="宋体" w:hAnsi="宋体"/>
                <w:szCs w:val="21"/>
              </w:rPr>
            </w:pPr>
            <w:r>
              <w:rPr>
                <w:rFonts w:hint="eastAsia" w:ascii="宋体" w:hAnsi="宋体"/>
                <w:szCs w:val="21"/>
              </w:rPr>
              <w:t>反弹</w:t>
            </w:r>
          </w:p>
        </w:tc>
        <w:tc>
          <w:tcPr>
            <w:tcW w:w="7368" w:type="dxa"/>
            <w:vMerge w:val="continue"/>
          </w:tcPr>
          <w:p>
            <w:pPr>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112"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镍</w:t>
            </w:r>
          </w:p>
        </w:tc>
        <w:tc>
          <w:tcPr>
            <w:tcW w:w="1165" w:type="dxa"/>
            <w:vAlign w:val="center"/>
          </w:tcPr>
          <w:p>
            <w:pPr>
              <w:jc w:val="center"/>
              <w:rPr>
                <w:rFonts w:ascii="宋体" w:hAnsi="宋体"/>
                <w:szCs w:val="21"/>
              </w:rPr>
            </w:pPr>
            <w:r>
              <w:rPr>
                <w:rFonts w:ascii="宋体" w:hAnsi="宋体"/>
                <w:szCs w:val="21"/>
              </w:rPr>
              <w:t>震荡</w:t>
            </w:r>
          </w:p>
        </w:tc>
        <w:tc>
          <w:tcPr>
            <w:tcW w:w="7368" w:type="dxa"/>
            <w:vMerge w:val="continue"/>
          </w:tcPr>
          <w:p>
            <w:pPr>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76"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锌</w:t>
            </w:r>
          </w:p>
        </w:tc>
        <w:tc>
          <w:tcPr>
            <w:tcW w:w="1165" w:type="dxa"/>
            <w:vAlign w:val="center"/>
          </w:tcPr>
          <w:p>
            <w:pPr>
              <w:jc w:val="center"/>
              <w:rPr>
                <w:rFonts w:ascii="宋体" w:hAnsi="宋体"/>
                <w:color w:val="000000"/>
                <w:szCs w:val="21"/>
              </w:rPr>
            </w:pPr>
            <w:r>
              <w:rPr>
                <w:rFonts w:hint="eastAsia" w:ascii="宋体" w:hAnsi="宋体"/>
                <w:szCs w:val="21"/>
              </w:rPr>
              <w:t>震荡</w:t>
            </w:r>
          </w:p>
        </w:tc>
        <w:tc>
          <w:tcPr>
            <w:tcW w:w="7368" w:type="dxa"/>
            <w:vMerge w:val="continue"/>
          </w:tcPr>
          <w:p>
            <w:pPr>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841" w:hRule="atLeast"/>
          <w:jc w:val="center"/>
        </w:trPr>
        <w:tc>
          <w:tcPr>
            <w:tcW w:w="428" w:type="dxa"/>
            <w:vMerge w:val="restart"/>
          </w:tcPr>
          <w:p>
            <w:pPr>
              <w:rPr>
                <w:rFonts w:ascii="宋体" w:hAnsi="宋体"/>
                <w:b/>
                <w:sz w:val="24"/>
                <w:szCs w:val="21"/>
              </w:rPr>
            </w:pPr>
          </w:p>
          <w:p>
            <w:pPr>
              <w:rPr>
                <w:rFonts w:ascii="宋体" w:hAnsi="宋体"/>
                <w:b/>
                <w:sz w:val="24"/>
                <w:szCs w:val="21"/>
              </w:rPr>
            </w:pPr>
          </w:p>
          <w:p>
            <w:pPr>
              <w:rPr>
                <w:rFonts w:ascii="宋体" w:hAnsi="宋体"/>
                <w:b/>
                <w:sz w:val="24"/>
                <w:szCs w:val="21"/>
              </w:rPr>
            </w:pPr>
          </w:p>
          <w:p>
            <w:pPr>
              <w:rPr>
                <w:rFonts w:ascii="宋体" w:hAnsi="宋体"/>
                <w:b/>
                <w:sz w:val="24"/>
                <w:szCs w:val="21"/>
              </w:rPr>
            </w:pPr>
          </w:p>
          <w:p>
            <w:pPr>
              <w:rPr>
                <w:rFonts w:ascii="宋体" w:hAnsi="宋体"/>
                <w:b/>
                <w:sz w:val="24"/>
                <w:szCs w:val="21"/>
              </w:rPr>
            </w:pPr>
          </w:p>
          <w:p>
            <w:pPr>
              <w:rPr>
                <w:rFonts w:ascii="宋体" w:hAnsi="宋体"/>
                <w:b/>
                <w:sz w:val="24"/>
                <w:szCs w:val="21"/>
              </w:rPr>
            </w:pPr>
          </w:p>
          <w:p>
            <w:pPr>
              <w:jc w:val="center"/>
              <w:rPr>
                <w:rFonts w:ascii="宋体" w:hAnsi="宋体"/>
                <w:b/>
                <w:sz w:val="24"/>
                <w:szCs w:val="21"/>
              </w:rPr>
            </w:pPr>
            <w:r>
              <w:rPr>
                <w:rFonts w:hint="eastAsia" w:ascii="宋体" w:hAnsi="宋体"/>
                <w:b/>
                <w:sz w:val="24"/>
                <w:szCs w:val="21"/>
              </w:rPr>
              <w:t>农</w:t>
            </w:r>
          </w:p>
          <w:p>
            <w:pPr>
              <w:jc w:val="center"/>
              <w:rPr>
                <w:rFonts w:ascii="宋体" w:hAnsi="宋体"/>
                <w:b/>
                <w:sz w:val="24"/>
                <w:szCs w:val="21"/>
              </w:rPr>
            </w:pPr>
            <w:r>
              <w:rPr>
                <w:rFonts w:hint="eastAsia" w:ascii="宋体" w:hAnsi="宋体"/>
                <w:b/>
                <w:sz w:val="24"/>
                <w:szCs w:val="21"/>
              </w:rPr>
              <w:t>产</w:t>
            </w:r>
          </w:p>
          <w:p>
            <w:pPr>
              <w:jc w:val="center"/>
              <w:rPr>
                <w:rFonts w:ascii="宋体" w:hAnsi="宋体"/>
                <w:b/>
                <w:sz w:val="24"/>
                <w:szCs w:val="21"/>
              </w:rPr>
            </w:pPr>
            <w:r>
              <w:rPr>
                <w:rFonts w:hint="eastAsia" w:ascii="宋体" w:hAnsi="宋体"/>
                <w:b/>
                <w:sz w:val="24"/>
                <w:szCs w:val="21"/>
              </w:rPr>
              <w:t>品</w:t>
            </w:r>
          </w:p>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大豆</w:t>
            </w:r>
          </w:p>
        </w:tc>
        <w:tc>
          <w:tcPr>
            <w:tcW w:w="1165" w:type="dxa"/>
            <w:vAlign w:val="center"/>
          </w:tcPr>
          <w:p>
            <w:pPr>
              <w:jc w:val="center"/>
              <w:rPr>
                <w:rFonts w:ascii="宋体" w:hAnsi="宋体"/>
                <w:szCs w:val="21"/>
              </w:rPr>
            </w:pPr>
            <w:r>
              <w:rPr>
                <w:rFonts w:hint="eastAsia" w:ascii="宋体" w:hAnsi="宋体"/>
                <w:szCs w:val="21"/>
              </w:rPr>
              <w:t>震荡</w:t>
            </w:r>
          </w:p>
        </w:tc>
        <w:tc>
          <w:tcPr>
            <w:tcW w:w="7368" w:type="dxa"/>
            <w:vMerge w:val="restart"/>
          </w:tcPr>
          <w:p>
            <w:pPr>
              <w:widowControl/>
              <w:jc w:val="left"/>
              <w:rPr>
                <w:rFonts w:hint="eastAsia" w:ascii="宋体" w:hAnsi="宋体" w:cs="宋体"/>
                <w:kern w:val="0"/>
                <w:sz w:val="24"/>
                <w:szCs w:val="24"/>
              </w:rPr>
            </w:pPr>
            <w:r>
              <w:rPr>
                <w:rFonts w:hint="eastAsia" w:ascii="宋体" w:hAnsi="宋体" w:cs="宋体"/>
                <w:kern w:val="0"/>
                <w:sz w:val="24"/>
                <w:szCs w:val="24"/>
              </w:rPr>
              <w:t>豆粕：美豆结转库存创新高，南美大豆丰产上市，全球大豆供应庞大，国内大豆原料充足，油厂压榨量仍处于较高水平，中下游基本已集中备货，需要时间消化，且非洲猪瘟还在蔓延，这些都不利于豆粕价格。不过，中美贸易摩擦持续，又逢美国大豆部分产区出现大幅降雨，如果过量降雨继续拖慢美豆播种进度，会加大后面美豆产量受损的几率，美豆产区天气炒作急剧升温，使得美豆出现暴涨。再加上南美大豆升水以及人民贬值进一步抬升了国内大豆进口成本，另外，豆菜粕价差处5年低位，豆粕替代杂粕比例增加，弥补了部分非洲猪瘟导致的猪料需求减量，豆粕强势反弹，但豆粕短期炒作过高，暂时观望，后期只要天气炒作继续，中美中加不缓和，上方还有空间，否则回归基本面。</w:t>
            </w:r>
          </w:p>
          <w:p>
            <w:pPr>
              <w:widowControl/>
              <w:jc w:val="left"/>
              <w:rPr>
                <w:rFonts w:ascii="宋体" w:hAnsi="宋体" w:cs="宋体"/>
                <w:kern w:val="0"/>
                <w:sz w:val="24"/>
                <w:szCs w:val="24"/>
              </w:rPr>
            </w:pPr>
            <w:r>
              <w:rPr>
                <w:rFonts w:hint="eastAsia" w:ascii="宋体" w:hAnsi="宋体" w:cs="宋体"/>
                <w:kern w:val="0"/>
                <w:sz w:val="24"/>
                <w:szCs w:val="24"/>
              </w:rPr>
              <w:t>油脂：美豆结转库存创新高，南美大豆丰产上市，全球大豆供应庞大。不过，美国中西部地区泥宁的土地以及预计更多降雨将导致农户缩减大豆种植面积，使得市场开始爆炒美豆天气。中美贸易战持续带动南美大豆升贴水大涨，再加上人民币贬值，这些都提升国内大豆进口成本，国内部分油厂豆粕或豆油胀库停机增加，豆油棕榈油库存暂止升小降，但库存仍处于高位，基本面依旧偏空。在美豆天气市炒作急剧升温背景下，国内油脂基本面利空将暂时被掩盖，预计短线油脂行情将震荡，一旦天气恢复，贸易摩擦缓和，油脂还会回归基本面。</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639" w:hRule="atLeast"/>
          <w:jc w:val="center"/>
        </w:trPr>
        <w:tc>
          <w:tcPr>
            <w:tcW w:w="428" w:type="dxa"/>
            <w:vMerge w:val="continue"/>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豆粕</w:t>
            </w:r>
          </w:p>
        </w:tc>
        <w:tc>
          <w:tcPr>
            <w:tcW w:w="1165" w:type="dxa"/>
            <w:vAlign w:val="center"/>
          </w:tcPr>
          <w:p>
            <w:pPr>
              <w:jc w:val="center"/>
              <w:rPr>
                <w:rFonts w:hint="eastAsia" w:ascii="宋体" w:hAnsi="宋体" w:eastAsia="宋体"/>
                <w:color w:val="000000"/>
                <w:szCs w:val="21"/>
                <w:lang w:eastAsia="zh-CN"/>
              </w:rPr>
            </w:pPr>
            <w:r>
              <w:rPr>
                <w:rFonts w:hint="eastAsia" w:ascii="宋体" w:hAnsi="宋体"/>
                <w:color w:val="000000"/>
                <w:szCs w:val="21"/>
                <w:lang w:val="en-US" w:eastAsia="zh-CN"/>
              </w:rPr>
              <w:t>反弹</w:t>
            </w:r>
          </w:p>
        </w:tc>
        <w:tc>
          <w:tcPr>
            <w:tcW w:w="7368" w:type="dxa"/>
            <w:vMerge w:val="continue"/>
          </w:tcPr>
          <w:p>
            <w:pPr>
              <w:widowControl/>
              <w:wordWrap w:val="0"/>
              <w:snapToGrid w:val="0"/>
              <w:jc w:val="left"/>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578"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豆油</w:t>
            </w:r>
          </w:p>
        </w:tc>
        <w:tc>
          <w:tcPr>
            <w:tcW w:w="1165" w:type="dxa"/>
            <w:vAlign w:val="center"/>
          </w:tcPr>
          <w:p>
            <w:pPr>
              <w:jc w:val="center"/>
              <w:rPr>
                <w:rFonts w:hint="eastAsia" w:ascii="宋体" w:hAnsi="宋体" w:eastAsia="宋体"/>
                <w:color w:val="000000"/>
                <w:szCs w:val="21"/>
                <w:lang w:eastAsia="zh-CN"/>
              </w:rPr>
            </w:pPr>
            <w:r>
              <w:rPr>
                <w:rFonts w:hint="eastAsia" w:ascii="宋体" w:hAnsi="宋体"/>
                <w:color w:val="000000"/>
                <w:szCs w:val="21"/>
                <w:lang w:val="en-US" w:eastAsia="zh-CN"/>
              </w:rPr>
              <w:t>反弹</w:t>
            </w:r>
          </w:p>
        </w:tc>
        <w:tc>
          <w:tcPr>
            <w:tcW w:w="7368" w:type="dxa"/>
            <w:vMerge w:val="continue"/>
          </w:tcPr>
          <w:p>
            <w:pPr>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727"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棕榈油</w:t>
            </w:r>
          </w:p>
        </w:tc>
        <w:tc>
          <w:tcPr>
            <w:tcW w:w="1165" w:type="dxa"/>
            <w:vAlign w:val="center"/>
          </w:tcPr>
          <w:p>
            <w:pPr>
              <w:jc w:val="center"/>
              <w:rPr>
                <w:rFonts w:ascii="宋体" w:hAnsi="宋体"/>
                <w:color w:val="000000"/>
                <w:szCs w:val="21"/>
              </w:rPr>
            </w:pPr>
            <w:r>
              <w:rPr>
                <w:rFonts w:hint="eastAsia" w:ascii="宋体" w:hAnsi="宋体"/>
                <w:color w:val="000000"/>
                <w:szCs w:val="21"/>
              </w:rPr>
              <w:t>震荡</w:t>
            </w:r>
          </w:p>
        </w:tc>
        <w:tc>
          <w:tcPr>
            <w:tcW w:w="7368" w:type="dxa"/>
            <w:vMerge w:val="continue"/>
          </w:tcPr>
          <w:p>
            <w:pPr>
              <w:widowControl/>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086"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白糖</w:t>
            </w:r>
          </w:p>
        </w:tc>
        <w:tc>
          <w:tcPr>
            <w:tcW w:w="1165" w:type="dxa"/>
            <w:vAlign w:val="center"/>
          </w:tcPr>
          <w:p>
            <w:pPr>
              <w:jc w:val="center"/>
              <w:rPr>
                <w:rFonts w:ascii="宋体" w:hAnsi="宋体"/>
                <w:szCs w:val="21"/>
              </w:rPr>
            </w:pPr>
            <w:r>
              <w:rPr>
                <w:rFonts w:hint="eastAsia" w:ascii="宋体" w:hAnsi="宋体"/>
                <w:szCs w:val="21"/>
              </w:rPr>
              <w:t>震荡</w:t>
            </w:r>
          </w:p>
        </w:tc>
        <w:tc>
          <w:tcPr>
            <w:tcW w:w="7368" w:type="dxa"/>
            <w:vMerge w:val="continue"/>
          </w:tcPr>
          <w:p>
            <w:pPr>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116"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玉米</w:t>
            </w:r>
          </w:p>
        </w:tc>
        <w:tc>
          <w:tcPr>
            <w:tcW w:w="1165" w:type="dxa"/>
            <w:vAlign w:val="center"/>
          </w:tcPr>
          <w:p>
            <w:pPr>
              <w:jc w:val="center"/>
              <w:rPr>
                <w:rFonts w:ascii="宋体" w:hAnsi="宋体"/>
                <w:szCs w:val="21"/>
              </w:rPr>
            </w:pPr>
            <w:r>
              <w:rPr>
                <w:rFonts w:hint="eastAsia" w:ascii="宋体" w:hAnsi="宋体"/>
                <w:szCs w:val="21"/>
              </w:rPr>
              <w:t>震荡偏多</w:t>
            </w:r>
          </w:p>
        </w:tc>
        <w:tc>
          <w:tcPr>
            <w:tcW w:w="7368" w:type="dxa"/>
            <w:vMerge w:val="continue"/>
            <w:vAlign w:val="center"/>
          </w:tcPr>
          <w:p>
            <w:pPr>
              <w:rPr>
                <w:rFonts w:ascii="宋体" w:hAnsi="宋体" w:cs="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362" w:hRule="atLeast"/>
          <w:jc w:val="center"/>
        </w:trPr>
        <w:tc>
          <w:tcPr>
            <w:tcW w:w="428" w:type="dxa"/>
            <w:vMerge w:val="restart"/>
            <w:vAlign w:val="center"/>
          </w:tcPr>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p>
          <w:p>
            <w:pPr>
              <w:jc w:val="center"/>
              <w:rPr>
                <w:rFonts w:ascii="宋体" w:hAnsi="宋体"/>
                <w:b/>
                <w:sz w:val="24"/>
                <w:szCs w:val="21"/>
              </w:rPr>
            </w:pPr>
            <w:r>
              <w:rPr>
                <w:rFonts w:hint="eastAsia" w:ascii="宋体" w:hAnsi="宋体"/>
                <w:b/>
                <w:sz w:val="24"/>
                <w:szCs w:val="21"/>
              </w:rPr>
              <w:t>能源化工品</w:t>
            </w:r>
          </w:p>
        </w:tc>
        <w:tc>
          <w:tcPr>
            <w:tcW w:w="928" w:type="dxa"/>
            <w:vAlign w:val="center"/>
          </w:tcPr>
          <w:p>
            <w:pPr>
              <w:jc w:val="center"/>
              <w:rPr>
                <w:rFonts w:ascii="宋体" w:hAnsi="宋体"/>
                <w:szCs w:val="21"/>
              </w:rPr>
            </w:pPr>
            <w:r>
              <w:rPr>
                <w:rFonts w:hint="eastAsia" w:ascii="宋体" w:hAnsi="宋体"/>
                <w:szCs w:val="21"/>
              </w:rPr>
              <w:t>原油</w:t>
            </w:r>
          </w:p>
        </w:tc>
        <w:tc>
          <w:tcPr>
            <w:tcW w:w="1165" w:type="dxa"/>
            <w:vAlign w:val="center"/>
          </w:tcPr>
          <w:p>
            <w:pPr>
              <w:jc w:val="center"/>
              <w:rPr>
                <w:rFonts w:hint="eastAsia" w:ascii="宋体" w:hAnsi="宋体" w:eastAsia="宋体"/>
                <w:kern w:val="0"/>
                <w:szCs w:val="21"/>
                <w:lang w:val="en-US" w:eastAsia="zh-CN"/>
              </w:rPr>
            </w:pPr>
            <w:r>
              <w:rPr>
                <w:rFonts w:hint="eastAsia" w:ascii="宋体" w:hAnsi="宋体"/>
                <w:kern w:val="0"/>
                <w:szCs w:val="21"/>
              </w:rPr>
              <w:t>震荡</w:t>
            </w:r>
            <w:r>
              <w:rPr>
                <w:rFonts w:hint="eastAsia" w:ascii="宋体" w:hAnsi="宋体"/>
                <w:kern w:val="0"/>
                <w:szCs w:val="21"/>
                <w:lang w:val="en-US" w:eastAsia="zh-CN"/>
              </w:rPr>
              <w:t>偏弱</w:t>
            </w:r>
          </w:p>
        </w:tc>
        <w:tc>
          <w:tcPr>
            <w:tcW w:w="7368" w:type="dxa"/>
            <w:vMerge w:val="restart"/>
          </w:tcPr>
          <w:p>
            <w:pPr>
              <w:widowControl/>
              <w:jc w:val="left"/>
              <w:rPr>
                <w:rFonts w:ascii="宋体" w:hAnsi="宋体" w:cs="宋体"/>
                <w:kern w:val="0"/>
                <w:sz w:val="24"/>
                <w:szCs w:val="24"/>
              </w:rPr>
            </w:pPr>
            <w:r>
              <w:rPr>
                <w:rFonts w:hint="eastAsia" w:ascii="宋体" w:hAnsi="宋体" w:cs="宋体"/>
                <w:kern w:val="0"/>
                <w:sz w:val="24"/>
                <w:szCs w:val="24"/>
              </w:rPr>
              <w:t>原油：</w:t>
            </w:r>
            <w:r>
              <w:rPr>
                <w:rFonts w:hint="eastAsia" w:ascii="宋体" w:hAnsi="宋体" w:cs="宋体" w:eastAsiaTheme="minorEastAsia"/>
                <w:kern w:val="0"/>
                <w:sz w:val="24"/>
                <w:szCs w:val="24"/>
                <w:lang w:val="en-US" w:eastAsia="zh-CN"/>
              </w:rPr>
              <w:t>原油受市场情绪影响及自身短期利空影响，大幅下行</w:t>
            </w:r>
            <w:r>
              <w:rPr>
                <w:rFonts w:hint="eastAsia" w:ascii="宋体" w:hAnsi="宋体" w:cs="宋体" w:eastAsiaTheme="minorEastAsia"/>
                <w:kern w:val="0"/>
                <w:sz w:val="24"/>
                <w:szCs w:val="24"/>
              </w:rPr>
              <w:t>。</w:t>
            </w:r>
            <w:r>
              <w:rPr>
                <w:rFonts w:hint="eastAsia" w:ascii="宋体" w:hAnsi="宋体" w:cs="宋体"/>
                <w:kern w:val="0"/>
                <w:sz w:val="24"/>
                <w:szCs w:val="24"/>
              </w:rPr>
              <w:t>伊朗石油短缺是否有所填补仍不明朗。市场担忧中长期原油供应端短缺逻辑仍在持续，但上行动力逐渐减少</w:t>
            </w:r>
            <w:r>
              <w:rPr>
                <w:rFonts w:hint="eastAsia" w:ascii="宋体" w:hAnsi="宋体" w:cs="宋体"/>
                <w:kern w:val="0"/>
                <w:sz w:val="24"/>
                <w:szCs w:val="24"/>
                <w:lang w:eastAsia="zh-CN"/>
              </w:rPr>
              <w:t>，</w:t>
            </w:r>
            <w:r>
              <w:rPr>
                <w:rFonts w:hint="eastAsia" w:ascii="宋体" w:hAnsi="宋体" w:cs="宋体"/>
                <w:kern w:val="0"/>
                <w:sz w:val="24"/>
                <w:szCs w:val="24"/>
                <w:lang w:val="en-US" w:eastAsia="zh-CN"/>
              </w:rPr>
              <w:t>多头情绪减弱</w:t>
            </w:r>
            <w:r>
              <w:rPr>
                <w:rFonts w:hint="eastAsia" w:ascii="宋体" w:hAnsi="宋体" w:cs="宋体"/>
                <w:kern w:val="0"/>
                <w:sz w:val="24"/>
                <w:szCs w:val="24"/>
              </w:rPr>
              <w:t>。总体上来看，原油高位运行支撑仍在，但继续上行需要看各方政治态势。</w:t>
            </w:r>
          </w:p>
          <w:p>
            <w:pPr>
              <w:widowControl/>
              <w:jc w:val="left"/>
              <w:rPr>
                <w:rFonts w:hint="eastAsia" w:ascii="宋体" w:hAnsi="宋体" w:cs="宋体"/>
                <w:kern w:val="0"/>
                <w:sz w:val="24"/>
                <w:szCs w:val="24"/>
              </w:rPr>
            </w:pPr>
            <w:r>
              <w:rPr>
                <w:rFonts w:hint="eastAsia" w:ascii="宋体" w:hAnsi="宋体" w:cs="宋体"/>
                <w:kern w:val="0"/>
                <w:sz w:val="24"/>
                <w:szCs w:val="24"/>
              </w:rPr>
              <w:t>甲醇：主要矛盾在于绝对价格偏低和供需转、偏弱的矛盾，短期关注进口货源压力，库存去化表现缓慢，价格难上，但绝对价格偏低。</w:t>
            </w:r>
          </w:p>
          <w:p>
            <w:pPr>
              <w:widowControl/>
              <w:jc w:val="left"/>
              <w:rPr>
                <w:rFonts w:hint="eastAsia" w:ascii="宋体" w:hAnsi="宋体" w:cs="宋体"/>
                <w:kern w:val="0"/>
                <w:sz w:val="24"/>
                <w:szCs w:val="24"/>
              </w:rPr>
            </w:pPr>
            <w:r>
              <w:rPr>
                <w:rFonts w:hint="eastAsia" w:ascii="宋体" w:hAnsi="宋体" w:cs="宋体"/>
                <w:kern w:val="0"/>
                <w:sz w:val="24"/>
                <w:szCs w:val="24"/>
              </w:rPr>
              <w:t>聚烯烃：短期成本端支撑非常强，但是比价估值二者中性偏高，长期面临投产压力，价格下移，短期价格风向标关注库存走势，风险在于油价和宏观。</w:t>
            </w:r>
          </w:p>
          <w:p>
            <w:pPr>
              <w:widowControl/>
              <w:jc w:val="left"/>
              <w:rPr>
                <w:rFonts w:ascii="宋体" w:hAnsi="宋体" w:cs="宋体"/>
                <w:kern w:val="0"/>
                <w:sz w:val="24"/>
                <w:szCs w:val="24"/>
              </w:rPr>
            </w:pPr>
            <w:r>
              <w:rPr>
                <w:rFonts w:hint="eastAsia" w:ascii="宋体" w:hAnsi="宋体" w:cs="宋体"/>
                <w:kern w:val="0"/>
                <w:sz w:val="24"/>
                <w:szCs w:val="24"/>
              </w:rPr>
              <w:t>PVC：在PVC供给增长率3.5%左右情况下，需求受到中美贸易影响地板出口进而使得PVC会进入一个供需双弱的格局，电石的下滑使得成本端支撑减弱，以及库存去化减慢可采取轻仓试空。</w:t>
            </w: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198" w:hRule="atLeast"/>
          <w:jc w:val="center"/>
        </w:trPr>
        <w:tc>
          <w:tcPr>
            <w:tcW w:w="428" w:type="dxa"/>
            <w:vMerge w:val="continue"/>
            <w:vAlign w:val="center"/>
          </w:tcPr>
          <w:p>
            <w:pPr>
              <w:jc w:val="cente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LLDPE</w:t>
            </w:r>
          </w:p>
        </w:tc>
        <w:tc>
          <w:tcPr>
            <w:tcW w:w="1165" w:type="dxa"/>
            <w:vAlign w:val="center"/>
          </w:tcPr>
          <w:p>
            <w:pPr>
              <w:jc w:val="center"/>
              <w:rPr>
                <w:rFonts w:hint="eastAsia" w:ascii="宋体" w:hAnsi="宋体" w:eastAsia="宋体"/>
                <w:szCs w:val="21"/>
                <w:lang w:val="en-US" w:eastAsia="zh-CN"/>
              </w:rPr>
            </w:pPr>
            <w:r>
              <w:rPr>
                <w:rFonts w:hint="eastAsia" w:ascii="宋体" w:hAnsi="宋体"/>
                <w:szCs w:val="21"/>
              </w:rPr>
              <w:t>震荡偏</w:t>
            </w:r>
            <w:r>
              <w:rPr>
                <w:rFonts w:hint="eastAsia" w:ascii="宋体" w:hAnsi="宋体"/>
                <w:szCs w:val="21"/>
                <w:lang w:val="en-US" w:eastAsia="zh-CN"/>
              </w:rPr>
              <w:t>多</w:t>
            </w:r>
          </w:p>
        </w:tc>
        <w:tc>
          <w:tcPr>
            <w:tcW w:w="7368" w:type="dxa"/>
            <w:vMerge w:val="continue"/>
          </w:tcPr>
          <w:p>
            <w:pPr>
              <w:rPr>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1258" w:hRule="atLeast"/>
          <w:jc w:val="center"/>
        </w:trPr>
        <w:tc>
          <w:tcPr>
            <w:tcW w:w="428" w:type="dxa"/>
            <w:vMerge w:val="continue"/>
            <w:vAlign w:val="center"/>
          </w:tcPr>
          <w:p>
            <w:pP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PP</w:t>
            </w:r>
          </w:p>
        </w:tc>
        <w:tc>
          <w:tcPr>
            <w:tcW w:w="1165" w:type="dxa"/>
            <w:vAlign w:val="center"/>
          </w:tcPr>
          <w:p>
            <w:pPr>
              <w:jc w:val="center"/>
              <w:rPr>
                <w:rFonts w:hint="eastAsia" w:ascii="宋体" w:hAnsi="宋体" w:eastAsia="宋体"/>
                <w:szCs w:val="21"/>
                <w:lang w:val="en-US" w:eastAsia="zh-CN"/>
              </w:rPr>
            </w:pPr>
            <w:r>
              <w:rPr>
                <w:rFonts w:hint="eastAsia" w:ascii="宋体" w:hAnsi="宋体"/>
                <w:kern w:val="0"/>
                <w:szCs w:val="21"/>
              </w:rPr>
              <w:t>震荡</w:t>
            </w:r>
            <w:r>
              <w:rPr>
                <w:rFonts w:hint="eastAsia" w:ascii="宋体" w:hAnsi="宋体"/>
                <w:kern w:val="0"/>
                <w:szCs w:val="21"/>
                <w:lang w:val="en-US" w:eastAsia="zh-CN"/>
              </w:rPr>
              <w:t>偏多</w:t>
            </w:r>
          </w:p>
        </w:tc>
        <w:tc>
          <w:tcPr>
            <w:tcW w:w="7368" w:type="dxa"/>
            <w:vMerge w:val="continue"/>
            <w:vAlign w:val="center"/>
          </w:tcPr>
          <w:p>
            <w:pPr>
              <w:rPr>
                <w:rFonts w:ascii="宋体" w:hAnsi="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894" w:hRule="atLeast"/>
          <w:jc w:val="center"/>
        </w:trPr>
        <w:tc>
          <w:tcPr>
            <w:tcW w:w="428" w:type="dxa"/>
            <w:vMerge w:val="continue"/>
            <w:vAlign w:val="center"/>
          </w:tcPr>
          <w:p>
            <w:pP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甲醇</w:t>
            </w:r>
          </w:p>
        </w:tc>
        <w:tc>
          <w:tcPr>
            <w:tcW w:w="1165" w:type="dxa"/>
            <w:vAlign w:val="center"/>
          </w:tcPr>
          <w:p>
            <w:pPr>
              <w:jc w:val="center"/>
              <w:rPr>
                <w:rFonts w:ascii="宋体" w:hAnsi="宋体"/>
                <w:kern w:val="0"/>
                <w:szCs w:val="21"/>
              </w:rPr>
            </w:pPr>
            <w:r>
              <w:rPr>
                <w:rFonts w:hint="eastAsia" w:ascii="宋体" w:hAnsi="宋体"/>
                <w:kern w:val="0"/>
                <w:szCs w:val="21"/>
              </w:rPr>
              <w:t>震荡</w:t>
            </w:r>
          </w:p>
        </w:tc>
        <w:tc>
          <w:tcPr>
            <w:tcW w:w="7368" w:type="dxa"/>
            <w:vMerge w:val="continue"/>
            <w:vAlign w:val="center"/>
          </w:tcPr>
          <w:p>
            <w:pPr>
              <w:rPr>
                <w:rFonts w:ascii="宋体" w:hAnsi="宋体"/>
                <w:kern w:val="0"/>
                <w:szCs w:val="21"/>
              </w:rPr>
            </w:pPr>
          </w:p>
        </w:tc>
      </w:tr>
      <w:tr>
        <w:tblPrEx>
          <w:tblBorders>
            <w:top w:val="single" w:color="FF0000" w:sz="12" w:space="0"/>
            <w:left w:val="none" w:color="auto" w:sz="0" w:space="0"/>
            <w:bottom w:val="single" w:color="FF0000" w:sz="12" w:space="0"/>
            <w:right w:val="none" w:color="auto" w:sz="0" w:space="0"/>
            <w:insideH w:val="dashed" w:color="FF0000" w:sz="4" w:space="0"/>
            <w:insideV w:val="dashed" w:color="FF0000" w:sz="4" w:space="0"/>
          </w:tblBorders>
          <w:tblLayout w:type="fixed"/>
          <w:tblCellMar>
            <w:top w:w="0" w:type="dxa"/>
            <w:left w:w="108" w:type="dxa"/>
            <w:bottom w:w="0" w:type="dxa"/>
            <w:right w:w="108" w:type="dxa"/>
          </w:tblCellMar>
        </w:tblPrEx>
        <w:trPr>
          <w:trHeight w:val="0" w:hRule="atLeast"/>
          <w:jc w:val="center"/>
        </w:trPr>
        <w:tc>
          <w:tcPr>
            <w:tcW w:w="428" w:type="dxa"/>
            <w:vMerge w:val="continue"/>
            <w:vAlign w:val="center"/>
          </w:tcPr>
          <w:p>
            <w:pPr>
              <w:rPr>
                <w:rFonts w:ascii="宋体" w:hAnsi="宋体"/>
                <w:b/>
                <w:sz w:val="24"/>
                <w:szCs w:val="21"/>
              </w:rPr>
            </w:pPr>
          </w:p>
        </w:tc>
        <w:tc>
          <w:tcPr>
            <w:tcW w:w="928" w:type="dxa"/>
            <w:vAlign w:val="center"/>
          </w:tcPr>
          <w:p>
            <w:pPr>
              <w:jc w:val="center"/>
              <w:rPr>
                <w:rFonts w:ascii="宋体" w:hAnsi="宋体"/>
                <w:szCs w:val="21"/>
              </w:rPr>
            </w:pPr>
            <w:r>
              <w:rPr>
                <w:rFonts w:hint="eastAsia" w:ascii="宋体" w:hAnsi="宋体"/>
                <w:szCs w:val="21"/>
              </w:rPr>
              <w:t>PVC</w:t>
            </w:r>
          </w:p>
        </w:tc>
        <w:tc>
          <w:tcPr>
            <w:tcW w:w="1165" w:type="dxa"/>
            <w:vAlign w:val="center"/>
          </w:tcPr>
          <w:p>
            <w:pPr>
              <w:jc w:val="center"/>
              <w:rPr>
                <w:rFonts w:hint="eastAsia" w:ascii="宋体" w:hAnsi="宋体" w:eastAsia="宋体"/>
                <w:kern w:val="0"/>
                <w:szCs w:val="21"/>
                <w:lang w:val="en-US" w:eastAsia="zh-CN"/>
              </w:rPr>
            </w:pPr>
            <w:r>
              <w:rPr>
                <w:rFonts w:hint="eastAsia" w:ascii="宋体" w:hAnsi="宋体"/>
                <w:kern w:val="0"/>
                <w:szCs w:val="21"/>
              </w:rPr>
              <w:t>震荡偏</w:t>
            </w:r>
            <w:r>
              <w:rPr>
                <w:rFonts w:hint="eastAsia" w:ascii="宋体" w:hAnsi="宋体"/>
                <w:kern w:val="0"/>
                <w:szCs w:val="21"/>
                <w:lang w:val="en-US" w:eastAsia="zh-CN"/>
              </w:rPr>
              <w:t>弱</w:t>
            </w:r>
          </w:p>
        </w:tc>
        <w:tc>
          <w:tcPr>
            <w:tcW w:w="7368" w:type="dxa"/>
            <w:vMerge w:val="continue"/>
            <w:vAlign w:val="center"/>
          </w:tcPr>
          <w:p>
            <w:pPr>
              <w:rPr>
                <w:rFonts w:ascii="宋体" w:hAnsi="宋体"/>
                <w:kern w:val="0"/>
                <w:szCs w:val="21"/>
              </w:rPr>
            </w:pPr>
          </w:p>
        </w:tc>
      </w:tr>
      <w:bookmarkEnd w:id="0"/>
      <w:bookmarkEnd w:id="1"/>
    </w:tbl>
    <w:p>
      <w:pPr>
        <w:widowControl/>
        <w:numPr>
          <w:ilvl w:val="0"/>
          <w:numId w:val="1"/>
        </w:numPr>
        <w:spacing w:line="300" w:lineRule="auto"/>
        <w:jc w:val="left"/>
        <w:rPr>
          <w:rFonts w:ascii="宋体" w:hAnsi="宋体"/>
          <w:b/>
          <w:sz w:val="28"/>
        </w:rPr>
      </w:pPr>
      <w:r>
        <w:rPr>
          <w:rFonts w:hint="eastAsia" w:ascii="宋体" w:hAnsi="宋体"/>
          <w:b/>
          <w:sz w:val="28"/>
        </w:rPr>
        <w:t>重点品种产业链资讯热点</w:t>
      </w:r>
      <w:bookmarkEnd w:id="2"/>
    </w:p>
    <w:tbl>
      <w:tblPr>
        <w:tblStyle w:val="88"/>
        <w:tblpPr w:leftFromText="180" w:rightFromText="180" w:vertAnchor="text" w:tblpX="534" w:tblpY="1"/>
        <w:tblOverlap w:val="never"/>
        <w:tblW w:w="9213" w:type="dxa"/>
        <w:tblInd w:w="0" w:type="dxa"/>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
      <w:tblGrid>
        <w:gridCol w:w="9213"/>
      </w:tblGrid>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265" w:hRule="atLeast"/>
        </w:trPr>
        <w:tc>
          <w:tcPr>
            <w:tcW w:w="9213" w:type="dxa"/>
          </w:tcPr>
          <w:p>
            <w:pPr>
              <w:widowControl/>
              <w:jc w:val="left"/>
              <w:rPr>
                <w:rFonts w:ascii="黑体" w:hAnsi="宋体" w:eastAsia="黑体"/>
                <w:b/>
                <w:color w:val="000000"/>
              </w:rPr>
            </w:pPr>
            <w:r>
              <w:rPr>
                <w:rFonts w:hint="eastAsia" w:ascii="黑体" w:hAnsi="宋体" w:eastAsia="黑体"/>
                <w:color w:val="000000"/>
              </w:rPr>
              <w:t xml:space="preserve"> </w:t>
            </w:r>
            <w:r>
              <w:rPr>
                <w:rFonts w:ascii="黑体" w:hAnsi="宋体" w:eastAsia="黑体"/>
                <w:color w:val="000000"/>
              </w:rPr>
              <w:t xml:space="preserve">                                 </w:t>
            </w:r>
            <w:r>
              <w:rPr>
                <w:rFonts w:ascii="黑体" w:hAnsi="宋体" w:eastAsia="黑体"/>
                <w:b/>
                <w:color w:val="000000"/>
              </w:rPr>
              <w:t xml:space="preserve">   </w:t>
            </w:r>
            <w:r>
              <w:rPr>
                <w:rFonts w:hint="eastAsia" w:ascii="黑体" w:hAnsi="宋体" w:eastAsia="黑体"/>
                <w:b/>
                <w:color w:val="000000"/>
                <w:sz w:val="24"/>
              </w:rPr>
              <w:t>宏  观</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406" w:hRule="atLeast"/>
        </w:trPr>
        <w:tc>
          <w:tcPr>
            <w:tcW w:w="9213" w:type="dxa"/>
          </w:tcPr>
          <w:p>
            <w:pPr>
              <w:widowControl/>
              <w:jc w:val="left"/>
              <w:rPr>
                <w:rFonts w:hint="eastAsia"/>
              </w:rPr>
            </w:pPr>
            <w:r>
              <w:rPr>
                <w:rFonts w:hint="eastAsia"/>
              </w:rPr>
              <w:t>1、中央全面深化改革委员会第八次会议指出，统筹稳增长、促改革、调结构、惠民生、防风险、保稳定，发挥国家发展规划的战略导向作用，健全财政、货币、就业、产业、区域等经济政策协调机制，保持经济运行在合理区间。会议强调，一些重大试点任务，要抓紧时间，倒排工期，早出成果。（来源：wind）</w:t>
            </w:r>
          </w:p>
          <w:p>
            <w:pPr>
              <w:widowControl/>
              <w:jc w:val="left"/>
              <w:rPr>
                <w:rFonts w:hint="eastAsia"/>
              </w:rPr>
            </w:pPr>
            <w:r>
              <w:rPr>
                <w:rFonts w:hint="eastAsia"/>
              </w:rPr>
              <w:t>2、全面深化改革委员会第八次会议审议通过《关于创新和完善宏观调控的指导意见》《关于在山西开展能源革命综合改革试点的意见》《关于深化影视业综合改革促进我国影视业健康发展的意见》《关于加强创新能力开放合作的若干意见》《关于治理高值医用耗材的改革方案》《关于改革完善体制机制加强粮食储备安全管理的若干意见》《关于完善建设用地使用权转让、出租、抵押二级市场的指导意见》等。（来源：wind）</w:t>
            </w:r>
          </w:p>
          <w:p>
            <w:pPr>
              <w:widowControl/>
              <w:jc w:val="left"/>
              <w:rPr>
                <w:rFonts w:hint="eastAsia"/>
              </w:rPr>
            </w:pPr>
            <w:r>
              <w:rPr>
                <w:rFonts w:hint="eastAsia"/>
              </w:rPr>
              <w:t>3、国务院常务会议：进一步促进社区养老和家政服务业加快发展，放宽准入，引导社会力量广泛参与社区养老服务，鼓励本科和职业院校开设家政服务专业，开展“家政培训提升行动”；加大对养老、托幼、家政等社区家庭服务业的税费政策优惠，从今年6月1日起至2025年底，对提供社区养老、托育、家政相关服务的收入免征增值税，并减按90%计入所得税应纳税所得额，研究完善增值税加计抵减政策，进一步支持生活服务业发展。（来源：wind）</w:t>
            </w:r>
          </w:p>
          <w:p>
            <w:pPr>
              <w:widowControl/>
              <w:jc w:val="left"/>
              <w:rPr>
                <w:rFonts w:hint="eastAsia"/>
              </w:rPr>
            </w:pPr>
            <w:r>
              <w:rPr>
                <w:rFonts w:hint="eastAsia"/>
              </w:rPr>
              <w:t>4、国务院办公厅转发《关于深化公共资源交易平台整合共享的指导意见》。意见提出，对于全民所有自然资源，特许经营权，农村集体产权等资产股权，排污权、碳排放权、用能权等环境权，要健全出让或转让规则，引入招标投标、拍卖等竞争性方式，完善交易制度和价格形成机制，促进公共资源公平交易、高效利用。有条件的地方可开展医疗药品、器械及耗材集中采购。（来源：wind）</w:t>
            </w:r>
          </w:p>
          <w:p>
            <w:pPr>
              <w:widowControl/>
              <w:jc w:val="left"/>
              <w:rPr>
                <w:rFonts w:hint="eastAsia"/>
              </w:rPr>
            </w:pPr>
            <w:r>
              <w:rPr>
                <w:rFonts w:hint="eastAsia"/>
              </w:rPr>
              <w:t>5、央行于5月24日成立100亿元的存款保险基金管理有限责任公司。经营范围包括： 进行股权、债权、基金等投资；依法管理存款保险基金有关资产等。（来源：wind）</w:t>
            </w:r>
          </w:p>
          <w:p>
            <w:pPr>
              <w:widowControl/>
              <w:jc w:val="left"/>
              <w:rPr>
                <w:rFonts w:hint="eastAsia"/>
              </w:rPr>
            </w:pPr>
            <w:r>
              <w:rPr>
                <w:rFonts w:hint="eastAsia"/>
              </w:rPr>
              <w:t>6、央行公开市场开展2700亿元7天期逆回购操作，周三有200亿元逆回购到期，净投放2500亿元。当天Shibor远期品种上行，短期品种下行，其中隔夜品种下行26.9bp。（来源：wind）</w:t>
            </w:r>
          </w:p>
          <w:p>
            <w:pPr>
              <w:widowControl/>
              <w:jc w:val="left"/>
              <w:rPr>
                <w:rFonts w:hint="eastAsia"/>
              </w:rPr>
            </w:pPr>
            <w:r>
              <w:rPr>
                <w:rFonts w:hint="eastAsia"/>
              </w:rPr>
              <w:t>7、商务部：下一步还将开展智能制造、生物医药、数字经济及装备制造等方面的产业研究；积极支持国家级经开区集聚、集约、集群发展先进制造业，会同有关部门共同实施先进制造业集群培育行动。（来源：wind）</w:t>
            </w:r>
          </w:p>
          <w:p>
            <w:pPr>
              <w:widowControl/>
              <w:jc w:val="left"/>
              <w:rPr>
                <w:rFonts w:hint="eastAsia"/>
              </w:rPr>
            </w:pPr>
            <w:r>
              <w:rPr>
                <w:rFonts w:hint="eastAsia"/>
              </w:rPr>
              <w:t>8、经济参考报头版刊文称，供应链金融是依托供应链运营开展金融业务，有助于优化产业资金流，缩短现金流周期，并增强中小企业信用。对供应链金融，应正确认识，完善政策，积极稳妥发展。（来源：wind）</w:t>
            </w:r>
          </w:p>
          <w:p>
            <w:pPr>
              <w:widowControl/>
              <w:jc w:val="left"/>
              <w:rPr>
                <w:rFonts w:ascii="宋体" w:hAnsi="宋体" w:cs="宋体"/>
                <w:kern w:val="0"/>
                <w:sz w:val="24"/>
                <w:szCs w:val="24"/>
              </w:rPr>
            </w:pP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widowControl/>
              <w:jc w:val="center"/>
              <w:rPr>
                <w:rFonts w:ascii="宋体" w:hAnsi="宋体" w:cs="宋体"/>
                <w:b/>
                <w:kern w:val="0"/>
                <w:sz w:val="24"/>
                <w:szCs w:val="24"/>
              </w:rPr>
            </w:pPr>
            <w:r>
              <w:rPr>
                <w:rFonts w:hint="eastAsia" w:ascii="宋体" w:hAnsi="宋体" w:cs="宋体"/>
                <w:b/>
                <w:kern w:val="0"/>
                <w:sz w:val="24"/>
                <w:szCs w:val="24"/>
              </w:rPr>
              <w:t>黑色产业链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widowControl/>
              <w:jc w:val="left"/>
              <w:rPr>
                <w:rFonts w:hint="eastAsia"/>
              </w:rPr>
            </w:pPr>
            <w:r>
              <w:rPr>
                <w:rFonts w:hint="eastAsia"/>
              </w:rPr>
              <w:t>1、2019年5月21日消息，作为此前Gongo Soco 铁矿矿坑斜坡发生结构性偏移的预防性措施，VALE官方宣布已暂停运营Sabará 及Barão de Cocais两地间货运服务支线。(我的钢铁网)</w:t>
            </w:r>
          </w:p>
          <w:p>
            <w:pPr>
              <w:widowControl/>
              <w:jc w:val="left"/>
              <w:rPr>
                <w:rFonts w:hint="eastAsia"/>
              </w:rPr>
            </w:pPr>
            <w:r>
              <w:rPr>
                <w:rFonts w:hint="eastAsia"/>
              </w:rPr>
              <w:t>2、据巴西当地新闻网站消息报道，VALE宣布位于Barão de Cocais地区的Gongo Soco矿区一矿坑北部斜坡以每日6-10厘米速度下滑，该速度接近此前对外公布的速度的两倍。该网站称，上周四VALE宣布该矿区矿坑北部斜坡下滑速度为每日3-4厘米。据Mysteel了解，VALE 官网并未发布相关更新消息。(我的钢铁网)</w:t>
            </w:r>
          </w:p>
          <w:p>
            <w:pPr>
              <w:widowControl/>
              <w:jc w:val="left"/>
              <w:rPr>
                <w:rFonts w:hint="eastAsia"/>
              </w:rPr>
            </w:pPr>
            <w:r>
              <w:rPr>
                <w:rFonts w:hint="eastAsia"/>
              </w:rPr>
              <w:t>3、5月24日，河北沧州黄骅港矿石港务有限公司发布“关于为深化执行“公转铁”政策申请调整火车疏港货物免堆期及火车疏港货物优先靠泊的议题”。据Mysteel获悉，该政策主要为了鼓励贸易商采用火运疏港作业方式，调整了港内的免堆期，由原来的60天调为120天。(我的钢铁网)</w:t>
            </w:r>
          </w:p>
          <w:p>
            <w:pPr>
              <w:widowControl/>
              <w:jc w:val="left"/>
              <w:rPr>
                <w:rFonts w:hint="eastAsia"/>
              </w:rPr>
            </w:pPr>
            <w:r>
              <w:rPr>
                <w:rFonts w:hint="eastAsia"/>
              </w:rPr>
              <w:t>4、5月20日，市场传言"淡水河谷Brucutu 矿区将于近期复产，法院已经批复淡水河谷复产，复产时间从本周四开始，但鉴于淡水河谷之前矿难，Brucutu营业许可时间暂定3个月。"为此，Mysteel 调研了相关机构了解到: Brucutu 矿区1000万吨干选产能确实将于近期开始复产，另外2000万吨湿选产能将继续处于关停状态。目前，淡水河谷官方尚未对此消息作出回应。(我的钢铁网)</w:t>
            </w:r>
          </w:p>
          <w:p>
            <w:pPr>
              <w:widowControl/>
              <w:jc w:val="left"/>
              <w:rPr>
                <w:rFonts w:hint="eastAsia"/>
              </w:rPr>
            </w:pPr>
            <w:r>
              <w:rPr>
                <w:rFonts w:hint="eastAsia"/>
              </w:rPr>
              <w:t>5、</w:t>
            </w:r>
            <w:r>
              <w:rPr>
                <w:rFonts w:hint="eastAsia"/>
              </w:rPr>
              <w:tab/>
            </w:r>
            <w:r>
              <w:rPr>
                <w:rFonts w:hint="eastAsia"/>
              </w:rPr>
              <w:t>【山东钢铁集团钢铁产能出让公示】本次转让减量炼铁产能2万吨、炼钢产能1万</w:t>
            </w:r>
          </w:p>
          <w:p>
            <w:pPr>
              <w:widowControl/>
              <w:jc w:val="left"/>
              <w:rPr>
                <w:rFonts w:hint="eastAsia"/>
              </w:rPr>
            </w:pPr>
            <w:r>
              <w:rPr>
                <w:rFonts w:hint="eastAsia"/>
              </w:rPr>
              <w:t xml:space="preserve">吨。新建项目总体还需另行置换炼铁产能43万吨、炼钢产能61万吨（另行置换时可不再减量）。立项、建设产能不得超过实际完成的置换产能。(我的钢铁网) </w:t>
            </w:r>
          </w:p>
          <w:p>
            <w:pPr>
              <w:widowControl/>
              <w:jc w:val="left"/>
              <w:rPr>
                <w:rFonts w:hint="eastAsia"/>
              </w:rPr>
            </w:pPr>
            <w:r>
              <w:rPr>
                <w:rFonts w:hint="eastAsia"/>
              </w:rPr>
              <w:t>6、</w:t>
            </w:r>
            <w:r>
              <w:rPr>
                <w:rFonts w:hint="eastAsia"/>
              </w:rPr>
              <w:tab/>
            </w:r>
            <w:r>
              <w:rPr>
                <w:rFonts w:hint="eastAsia"/>
              </w:rPr>
              <w:t>全国铁路投资仍在加速。前4月全国铁路固定资产投资完成逾1600亿元，同比增</w:t>
            </w:r>
          </w:p>
          <w:p>
            <w:pPr>
              <w:widowControl/>
              <w:jc w:val="left"/>
              <w:rPr>
                <w:rFonts w:hint="eastAsia"/>
              </w:rPr>
            </w:pPr>
            <w:r>
              <w:rPr>
                <w:rFonts w:hint="eastAsia"/>
              </w:rPr>
              <w:t xml:space="preserve">长15%，较一季度提高5个百分点。据统计，今年一季度铁路投资完成1012亿元，同比增长10%，为完成今年全年8000亿元的铁路投资目标任务奠定了坚实基础。(财联社) </w:t>
            </w:r>
          </w:p>
          <w:p>
            <w:pPr>
              <w:widowControl/>
              <w:jc w:val="left"/>
              <w:rPr>
                <w:rFonts w:ascii="宋体" w:hAnsi="宋体" w:cs="宋体"/>
                <w:kern w:val="0"/>
                <w:sz w:val="24"/>
                <w:szCs w:val="24"/>
              </w:rPr>
            </w:pPr>
            <w:r>
              <w:rPr>
                <w:rFonts w:hint="eastAsia"/>
              </w:rPr>
              <w:t>7、5月20日，郑合高铁、周口安钢产能置换项目现场推进会在沈丘召开。会前，部分与会人员统一由郑合高铁周口东站乘车至沈丘北站，沿途察看环保安保拆迁现场，并听取沿线县市区政府、管委会关于环保安保拆迁情况和高铁片区建设情况汇报，研究解决问题。会议透露，安钢产能置换项目选址拟定在沈丘县产业集聚区南园区东南部，位于石槽集乡境内。(我的钢铁网)</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spacing w:line="340" w:lineRule="exact"/>
              <w:ind w:left="-45"/>
              <w:jc w:val="center"/>
              <w:rPr>
                <w:rFonts w:ascii="黑体" w:hAnsi="宋体" w:eastAsia="黑体"/>
                <w:b/>
                <w:color w:val="000000"/>
              </w:rPr>
            </w:pPr>
            <w:r>
              <w:rPr>
                <w:rFonts w:hint="eastAsia" w:ascii="黑体" w:hAnsi="宋体" w:eastAsia="黑体"/>
                <w:b/>
                <w:color w:val="000000"/>
                <w:sz w:val="24"/>
              </w:rPr>
              <w:t>化工产业链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273" w:hRule="atLeast"/>
        </w:trPr>
        <w:tc>
          <w:tcPr>
            <w:tcW w:w="9213" w:type="dxa"/>
          </w:tcPr>
          <w:p>
            <w:pPr>
              <w:widowControl/>
              <w:pBdr>
                <w:top w:val="none" w:color="000000" w:sz="0" w:space="0"/>
                <w:left w:val="none" w:color="000000" w:sz="0" w:space="0"/>
                <w:bottom w:val="none" w:color="000000" w:sz="0" w:space="0"/>
                <w:right w:val="none" w:color="000000" w:sz="0" w:space="0"/>
              </w:pBdr>
              <w:jc w:val="left"/>
              <w:rPr>
                <w:rFonts w:ascii="宋体" w:hAnsi="宋体" w:cs="宋体"/>
                <w:kern w:val="0"/>
                <w:sz w:val="21"/>
                <w:szCs w:val="21"/>
              </w:rPr>
            </w:pPr>
            <w:r>
              <w:rPr>
                <w:rFonts w:hint="eastAsia" w:ascii="宋体" w:hAnsi="宋体" w:cs="宋体"/>
                <w:kern w:val="0"/>
                <w:sz w:val="21"/>
                <w:szCs w:val="21"/>
              </w:rPr>
              <w:t>1、</w:t>
            </w:r>
            <w:r>
              <w:rPr>
                <w:rFonts w:hint="eastAsia" w:ascii="宋体" w:hAnsi="宋体" w:cs="宋体" w:eastAsiaTheme="minorEastAsia"/>
                <w:kern w:val="0"/>
                <w:sz w:val="21"/>
                <w:szCs w:val="21"/>
              </w:rPr>
              <w:t>经济预测公司牛津经济(Oxford Economics)周四警告称，疲软的原油需求似乎正在从发达国家蔓延到发展中国家。牛津大学(Oxford)在一份研究报告中表示：“令人意外的是，中国3月份柴油需求严重滑坡。我们目前预测今年石油需求将增长4%，但这是推测在2019年剩余时间石油需求将显著增长。”</w:t>
            </w:r>
            <w:r>
              <w:rPr>
                <w:rFonts w:hint="eastAsia" w:ascii="宋体" w:hAnsi="宋体" w:cs="宋体"/>
                <w:kern w:val="0"/>
                <w:sz w:val="21"/>
                <w:szCs w:val="21"/>
              </w:rPr>
              <w:t>(资料来源：卓创资讯)</w:t>
            </w:r>
          </w:p>
          <w:p>
            <w:pPr>
              <w:widowControl/>
              <w:pBdr>
                <w:top w:val="none" w:color="000000" w:sz="0" w:space="0"/>
                <w:left w:val="none" w:color="000000" w:sz="0" w:space="0"/>
                <w:bottom w:val="none" w:color="000000" w:sz="0" w:space="0"/>
                <w:right w:val="none" w:color="000000" w:sz="0" w:space="0"/>
              </w:pBdr>
              <w:jc w:val="left"/>
              <w:rPr>
                <w:rFonts w:ascii="宋体" w:hAnsi="宋体" w:cs="宋体"/>
                <w:kern w:val="0"/>
                <w:sz w:val="21"/>
                <w:szCs w:val="21"/>
              </w:rPr>
            </w:pPr>
            <w:r>
              <w:rPr>
                <w:rFonts w:hint="eastAsia" w:ascii="宋体" w:hAnsi="宋体" w:cs="宋体"/>
                <w:kern w:val="0"/>
                <w:sz w:val="21"/>
                <w:szCs w:val="21"/>
              </w:rPr>
              <w:t>2、Energy Aspects的Riccardo Fabiani称，预计沙特将不会填补伊朗和委内瑞拉的大部分供应缺口，未来几个月石油期货料再度跃升。预计布伦特原油和西得克萨斯州轻质原油将从目前的每桶70.50美元和61美元分别上涨至每桶83美元和73美元。沙特不担心马上出现石油紧张，他们更担心过早增加供应会失去对油价的控制权，进而引发螺旋式下跌。(资料来源：卓创资讯)</w:t>
            </w:r>
          </w:p>
          <w:p>
            <w:pPr>
              <w:widowControl/>
              <w:pBdr>
                <w:top w:val="none" w:color="000000" w:sz="0" w:space="0"/>
                <w:left w:val="none" w:color="000000" w:sz="0" w:space="0"/>
                <w:bottom w:val="none" w:color="000000" w:sz="0" w:space="0"/>
                <w:right w:val="none" w:color="000000" w:sz="0" w:space="0"/>
              </w:pBdr>
              <w:jc w:val="left"/>
              <w:rPr>
                <w:rFonts w:ascii="宋体" w:hAnsi="宋体" w:cs="宋体"/>
                <w:kern w:val="0"/>
                <w:sz w:val="21"/>
                <w:szCs w:val="21"/>
              </w:rPr>
            </w:pPr>
            <w:r>
              <w:rPr>
                <w:rFonts w:hint="eastAsia" w:ascii="宋体" w:hAnsi="宋体" w:cs="宋体"/>
                <w:kern w:val="0"/>
                <w:sz w:val="21"/>
                <w:szCs w:val="21"/>
                <w:lang w:val="en-US" w:eastAsia="zh-CN"/>
              </w:rPr>
              <w:t>3</w:t>
            </w:r>
            <w:r>
              <w:rPr>
                <w:rFonts w:hint="eastAsia" w:ascii="宋体" w:hAnsi="宋体" w:cs="宋体"/>
                <w:kern w:val="0"/>
                <w:sz w:val="21"/>
                <w:szCs w:val="21"/>
              </w:rPr>
              <w:t>、美中贸易紧张局势升级后，投资者担心贸易战减缓全球经济增长，最新公布的美国、欧洲和日本的经济数据显示不如预期强劲。数据显示，美国5月Markit制造业PMI初值实际录得50.60，远不及预期值52.70和前值52.60。强化了市场对于美国制造业放缓的忧虑。(资料来源：卓创资讯)</w:t>
            </w:r>
          </w:p>
          <w:p>
            <w:pPr>
              <w:widowControl/>
              <w:pBdr>
                <w:top w:val="none" w:color="000000" w:sz="0" w:space="0"/>
                <w:left w:val="none" w:color="000000" w:sz="0" w:space="0"/>
                <w:bottom w:val="none" w:color="000000" w:sz="0" w:space="0"/>
                <w:right w:val="none" w:color="000000" w:sz="0" w:space="0"/>
              </w:pBdr>
              <w:jc w:val="left"/>
              <w:rPr>
                <w:rFonts w:hint="eastAsia" w:ascii="宋体" w:hAnsi="宋体" w:cs="宋体"/>
                <w:kern w:val="0"/>
                <w:sz w:val="21"/>
                <w:szCs w:val="21"/>
              </w:rPr>
            </w:pPr>
            <w:r>
              <w:rPr>
                <w:rFonts w:hint="eastAsia" w:ascii="宋体" w:hAnsi="宋体" w:cs="宋体"/>
                <w:kern w:val="0"/>
                <w:sz w:val="21"/>
                <w:szCs w:val="21"/>
                <w:lang w:val="en-US" w:eastAsia="zh-CN"/>
              </w:rPr>
              <w:t>4</w:t>
            </w:r>
            <w:r>
              <w:rPr>
                <w:rFonts w:hint="eastAsia" w:ascii="宋体" w:hAnsi="宋体" w:cs="宋体"/>
                <w:kern w:val="0"/>
                <w:sz w:val="21"/>
                <w:szCs w:val="21"/>
              </w:rPr>
              <w:t>、出于对需求担忧，周四石油市场遭遇2019年年内最大的跌幅。外汇报价商CMC Markets的Michael Hewson说，石油市场确实低估了贸易争端这么快就失控。去年第四季度油价下跌后，今年年初开始油价反弹，这是因为曾经预测中美能达成贸易协议。许多人都认为，国际间紧张形势升级可能会损害全球石油需求。(资料来源：卓创资讯)</w:t>
            </w:r>
          </w:p>
          <w:p>
            <w:pPr>
              <w:widowControl/>
              <w:pBdr>
                <w:top w:val="none" w:color="000000" w:sz="0" w:space="0"/>
                <w:left w:val="none" w:color="000000" w:sz="0" w:space="0"/>
                <w:bottom w:val="none" w:color="000000" w:sz="0" w:space="0"/>
                <w:right w:val="none" w:color="000000" w:sz="0" w:space="0"/>
              </w:pBdr>
              <w:jc w:val="left"/>
              <w:rPr>
                <w:rFonts w:hint="eastAsia" w:ascii="宋体" w:hAnsi="宋体" w:eastAsia="宋体" w:cs="宋体"/>
                <w:kern w:val="0"/>
                <w:sz w:val="21"/>
                <w:szCs w:val="21"/>
                <w:lang w:val="en-US" w:eastAsia="zh-CN"/>
              </w:rPr>
            </w:pPr>
            <w:r>
              <w:rPr>
                <w:rFonts w:hint="eastAsia" w:ascii="宋体" w:hAnsi="宋体" w:cs="宋体"/>
                <w:kern w:val="0"/>
                <w:sz w:val="21"/>
                <w:szCs w:val="21"/>
                <w:lang w:val="en-US" w:eastAsia="zh-CN"/>
              </w:rPr>
              <w:t>5、德国商业银行的卡斯滕•弗里奇认为，周四油价大幅下跌与石油市场没有任何特别的关系。这是由金融市场的常规风险避险导致的，在美国发布令人失望的制造业指数后，石油市场气氛恶化。Fritsch表示，油价下跌使得沙特阿拉伯不太可能提高产量，这意味着油价在不久的将来会反弹。</w:t>
            </w:r>
            <w:r>
              <w:rPr>
                <w:rFonts w:hint="eastAsia" w:ascii="宋体" w:hAnsi="宋体" w:cs="宋体"/>
                <w:kern w:val="0"/>
                <w:sz w:val="21"/>
                <w:szCs w:val="21"/>
              </w:rPr>
              <w:t>(资料来源：卓创资讯)</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273" w:hRule="atLeast"/>
        </w:trPr>
        <w:tc>
          <w:tcPr>
            <w:tcW w:w="9213" w:type="dxa"/>
          </w:tcPr>
          <w:p>
            <w:pPr>
              <w:pBdr>
                <w:top w:val="none" w:color="000000" w:sz="0" w:space="0"/>
                <w:left w:val="none" w:color="000000" w:sz="0" w:space="0"/>
                <w:bottom w:val="none" w:color="000000" w:sz="0" w:space="0"/>
                <w:right w:val="none" w:color="000000" w:sz="0" w:space="0"/>
              </w:pBdr>
              <w:spacing w:line="340" w:lineRule="exact"/>
              <w:ind w:left="-45"/>
              <w:jc w:val="center"/>
              <w:rPr>
                <w:rFonts w:ascii="黑体" w:hAnsi="宋体" w:eastAsia="黑体"/>
                <w:b/>
                <w:color w:val="000000"/>
                <w:sz w:val="24"/>
              </w:rPr>
            </w:pPr>
            <w:r>
              <w:rPr>
                <w:rFonts w:hint="eastAsia" w:ascii="黑体" w:hAnsi="宋体" w:eastAsia="黑体"/>
                <w:b/>
                <w:color w:val="000000"/>
                <w:sz w:val="24"/>
              </w:rPr>
              <w:t>农产品产业链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273" w:hRule="atLeast"/>
        </w:trPr>
        <w:tc>
          <w:tcPr>
            <w:tcW w:w="9213" w:type="dxa"/>
          </w:tcPr>
          <w:p>
            <w:pPr>
              <w:widowControl/>
              <w:jc w:val="left"/>
              <w:rPr>
                <w:rFonts w:hint="eastAsia"/>
              </w:rPr>
            </w:pPr>
            <w:r>
              <w:rPr>
                <w:rFonts w:hint="eastAsia"/>
              </w:rPr>
              <w:t>1、联合国世界气象组织（WMO）称，今年6月到8月期间出现厄尔尼诺天气的几率为60到65%，但是不太可能出现强厄尔尼诺天气。（来源：Cofeed）</w:t>
            </w:r>
          </w:p>
          <w:p>
            <w:pPr>
              <w:widowControl/>
              <w:jc w:val="left"/>
              <w:rPr>
                <w:rFonts w:hint="eastAsia"/>
              </w:rPr>
            </w:pPr>
            <w:r>
              <w:rPr>
                <w:rFonts w:hint="eastAsia"/>
              </w:rPr>
              <w:t>2、巴西商贸部：截至5月24日当月(共17个工作日)，巴西共装出大豆823.95万吨，大豆日均装运由前周的51.14万吨降至48.47万吨/日，仍高于前月的47.95万吨/日，但不及去年5月的58.83万吨/日；装出豆粕141.02万吨，日均装运8.3万吨，前月7.25万吨/日，去年5月7.87万吨/日。（来源：Cofeed）</w:t>
            </w:r>
          </w:p>
          <w:p>
            <w:pPr>
              <w:widowControl/>
              <w:jc w:val="left"/>
              <w:rPr>
                <w:rFonts w:hint="eastAsia"/>
              </w:rPr>
            </w:pPr>
            <w:r>
              <w:rPr>
                <w:rFonts w:hint="eastAsia"/>
              </w:rPr>
              <w:t>3、ADM公司总裁Juan Ricardo Luciano在电话会议上表示，非洲猪瘟将造成中国生猪产量减少20%至30%。这相当于美国的产量规模。中国生猪存栏量急剧下滑，已经造成豆粕需求及压榨下滑减少。（来源：Cofeed）</w:t>
            </w:r>
          </w:p>
          <w:p>
            <w:pPr>
              <w:widowControl/>
              <w:jc w:val="left"/>
              <w:rPr>
                <w:rFonts w:hint="eastAsia"/>
              </w:rPr>
            </w:pPr>
            <w:r>
              <w:rPr>
                <w:rFonts w:hint="eastAsia"/>
              </w:rPr>
              <w:t>4、美国农业部(USDA)昨日在每周作物生长报告中公布称，截至5月26日当周，美国大豆种植率为29%，逊于市场平均预估值的31%，此前一周为19%，去年同期为74%，五年均值为66%。（来源：Cofeed）</w:t>
            </w:r>
          </w:p>
          <w:p>
            <w:pPr>
              <w:widowControl/>
              <w:jc w:val="left"/>
              <w:rPr>
                <w:rFonts w:ascii="宋体" w:hAnsi="宋体" w:cs="宋体"/>
                <w:kern w:val="0"/>
                <w:sz w:val="24"/>
                <w:szCs w:val="24"/>
              </w:rPr>
            </w:pPr>
            <w:r>
              <w:rPr>
                <w:rFonts w:hint="eastAsia"/>
              </w:rPr>
              <w:t>5、 阿根廷周三举行全国性罢工，抗议总统毛里西奥.马克里领导的紧缩措施，罢工使该国的航空服务陷入停滞，并导致主要谷物港口工作停止。（来源：Cofeed）</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pBdr>
                <w:top w:val="none" w:color="000000" w:sz="0" w:space="0"/>
                <w:left w:val="none" w:color="000000" w:sz="0" w:space="0"/>
                <w:bottom w:val="none" w:color="000000" w:sz="0" w:space="0"/>
                <w:right w:val="none" w:color="000000" w:sz="0" w:space="0"/>
              </w:pBdr>
              <w:spacing w:line="340" w:lineRule="exact"/>
              <w:ind w:left="-45"/>
              <w:jc w:val="center"/>
              <w:rPr>
                <w:rFonts w:ascii="黑体" w:hAnsi="宋体" w:eastAsia="黑体"/>
                <w:b/>
                <w:color w:val="000000"/>
                <w:sz w:val="24"/>
              </w:rPr>
            </w:pPr>
            <w:r>
              <w:rPr>
                <w:rFonts w:hint="eastAsia" w:ascii="黑体" w:hAnsi="宋体" w:eastAsia="黑体"/>
                <w:b/>
                <w:color w:val="000000"/>
                <w:sz w:val="24"/>
              </w:rPr>
              <w:t>有色产业链</w:t>
            </w:r>
          </w:p>
        </w:tc>
      </w:tr>
      <w:tr>
        <w:tblPrEx>
          <w:tblBorders>
            <w:top w:val="single" w:color="FF0000" w:sz="8" w:space="0"/>
            <w:left w:val="dashed" w:color="FF0000" w:sz="4" w:space="0"/>
            <w:bottom w:val="single" w:color="FF0000" w:sz="8" w:space="0"/>
            <w:right w:val="dashed" w:color="FF0000" w:sz="4" w:space="0"/>
            <w:insideH w:val="single" w:color="FF0000" w:sz="8" w:space="0"/>
            <w:insideV w:val="single" w:color="FF0000" w:sz="8" w:space="0"/>
          </w:tblBorders>
          <w:tblLayout w:type="fixed"/>
          <w:tblCellMar>
            <w:top w:w="0" w:type="dxa"/>
            <w:left w:w="108" w:type="dxa"/>
            <w:bottom w:w="0" w:type="dxa"/>
            <w:right w:w="108" w:type="dxa"/>
          </w:tblCellMar>
        </w:tblPrEx>
        <w:trPr>
          <w:trHeight w:val="90" w:hRule="atLeast"/>
        </w:trPr>
        <w:tc>
          <w:tcPr>
            <w:tcW w:w="9213" w:type="dxa"/>
          </w:tcPr>
          <w:p>
            <w:pPr>
              <w:rPr>
                <w:rFonts w:hint="eastAsia"/>
              </w:rPr>
            </w:pPr>
            <w:r>
              <w:rPr>
                <w:rFonts w:hint="eastAsia"/>
              </w:rPr>
              <w:t xml:space="preserve">1、目前，文山州铝土矿控制储量1.5亿吨，可开发储量1.1亿吨，远景储量2亿吨以上，居全省第1位，铝硅比在4—8之间。到2020年，全州氧化铝产能达到200万吨，电解铝产能达到300万吨左右，实现80%以上的电解铝就地转化；到2025年，全州电解铝产能达到300万吨以上，铝材总产能接近300万吨，努力实现接近100%就地转化。（来源：SMM） </w:t>
            </w:r>
          </w:p>
          <w:p>
            <w:pPr>
              <w:rPr>
                <w:rFonts w:hint="eastAsia"/>
              </w:rPr>
            </w:pPr>
          </w:p>
          <w:p>
            <w:pPr>
              <w:rPr>
                <w:rFonts w:hint="eastAsia"/>
              </w:rPr>
            </w:pPr>
            <w:r>
              <w:rPr>
                <w:rFonts w:hint="eastAsia"/>
              </w:rPr>
              <w:t xml:space="preserve">2、SMM数据显示，5月30日全国主要消费地区6063铝棒库存：佛山地区3.49万吨，无锡1.32万吨，常州0.70万吨，湖州1.00万吨，南昌1.34万吨，五地合计7.85万吨，相较于上周四减少0.12万吨。(来源：SMM） </w:t>
            </w:r>
          </w:p>
          <w:p>
            <w:pPr>
              <w:rPr>
                <w:rFonts w:hint="eastAsia"/>
              </w:rPr>
            </w:pPr>
          </w:p>
          <w:p>
            <w:pPr>
              <w:rPr>
                <w:rFonts w:hint="eastAsia"/>
              </w:rPr>
            </w:pPr>
            <w:r>
              <w:rPr>
                <w:rFonts w:hint="eastAsia"/>
              </w:rPr>
              <w:t>3、日本财务省周四公布的数据显示，日本4月清关后精炼铜出口量较上年同期下降23.1%，至37,092,955千克。(来源：日本财务省）</w:t>
            </w:r>
          </w:p>
          <w:p>
            <w:pPr>
              <w:rPr>
                <w:rFonts w:hint="eastAsia"/>
              </w:rPr>
            </w:pPr>
          </w:p>
          <w:p>
            <w:pPr>
              <w:rPr>
                <w:rFonts w:ascii="宋体" w:hAnsi="宋体" w:cs="宋体"/>
                <w:kern w:val="0"/>
                <w:sz w:val="24"/>
                <w:szCs w:val="24"/>
              </w:rPr>
            </w:pPr>
            <w:r>
              <w:rPr>
                <w:rFonts w:hint="eastAsia"/>
              </w:rPr>
              <w:t xml:space="preserve">4、一名工会领导人表示，智利国家铜业公司（Codelco）旗下Chuquicamata矿的三个工会周三拒绝了资方提供的最新合同方案，并且同意举行罢工。在经过为期两天的投票之后，工会1、工会2以及工会3中80%的会员拒绝了智利国家铜业公司的最终合同方案。这三个工会代表了近3,000名工人的利益，占该矿劳动力的80%以上。（来源：SMM） </w:t>
            </w:r>
          </w:p>
        </w:tc>
      </w:tr>
    </w:tbl>
    <w:p>
      <w:pPr>
        <w:pStyle w:val="124"/>
        <w:widowControl/>
        <w:tabs>
          <w:tab w:val="left" w:pos="720"/>
        </w:tabs>
        <w:spacing w:line="300" w:lineRule="auto"/>
        <w:ind w:firstLine="0" w:firstLineChars="0"/>
        <w:jc w:val="left"/>
        <w:rPr>
          <w:rFonts w:ascii="宋体" w:hAnsi="宋体"/>
          <w:kern w:val="0"/>
          <w:sz w:val="20"/>
        </w:rPr>
      </w:pPr>
      <w:bookmarkStart w:id="3" w:name="_Hlk505344099"/>
      <w:r>
        <w:rPr>
          <w:rFonts w:ascii="宋体" w:hAnsi="宋体"/>
          <w:kern w:val="0"/>
          <w:sz w:val="20"/>
        </w:rPr>
        <w:br w:type="page"/>
      </w:r>
    </w:p>
    <w:p>
      <w:pPr>
        <w:pStyle w:val="124"/>
        <w:widowControl/>
        <w:numPr>
          <w:ilvl w:val="0"/>
          <w:numId w:val="1"/>
        </w:numPr>
        <w:spacing w:line="300" w:lineRule="auto"/>
        <w:ind w:firstLineChars="0"/>
        <w:jc w:val="left"/>
        <w:rPr>
          <w:b/>
          <w:sz w:val="28"/>
        </w:rPr>
      </w:pPr>
      <w:r>
        <w:rPr>
          <w:rFonts w:hint="eastAsia"/>
          <w:b/>
          <w:sz w:val="28"/>
          <w:szCs w:val="22"/>
        </w:rPr>
        <w:t>现货价格变动及主力</w:t>
      </w:r>
      <w:r>
        <w:rPr>
          <w:rFonts w:hint="eastAsia"/>
          <w:b/>
          <w:sz w:val="28"/>
        </w:rPr>
        <w:t>合约期现</w:t>
      </w:r>
      <w:bookmarkEnd w:id="3"/>
      <w:r>
        <w:rPr>
          <w:rFonts w:hint="eastAsia"/>
          <w:b/>
          <w:sz w:val="28"/>
        </w:rPr>
        <w:t>价差</w:t>
      </w:r>
    </w:p>
    <w:p>
      <w:pPr>
        <w:widowControl/>
        <w:tabs>
          <w:tab w:val="left" w:pos="720"/>
        </w:tabs>
        <w:spacing w:line="300" w:lineRule="auto"/>
        <w:jc w:val="left"/>
        <w:rPr>
          <w:rFonts w:hint="eastAsia" w:ascii="宋体" w:hAnsi="宋体" w:eastAsia="宋体"/>
          <w:color w:val="000000"/>
          <w:lang w:eastAsia="zh-CN"/>
        </w:rPr>
      </w:pPr>
      <w:bookmarkStart w:id="4" w:name="_GoBack"/>
      <w:bookmarkEnd w:id="4"/>
    </w:p>
    <w:p>
      <w:pPr>
        <w:widowControl/>
        <w:tabs>
          <w:tab w:val="left" w:pos="720"/>
        </w:tabs>
        <w:spacing w:line="300" w:lineRule="auto"/>
        <w:jc w:val="left"/>
        <w:rPr>
          <w:rFonts w:ascii="宋体" w:hAnsi="宋体"/>
          <w:kern w:val="0"/>
          <w:sz w:val="20"/>
        </w:rPr>
      </w:pPr>
      <w:r>
        <w:rPr>
          <w:rFonts w:hint="eastAsia" w:ascii="宋体" w:hAnsi="宋体"/>
          <w:color w:val="000000"/>
        </w:rPr>
        <w:t>数据来源:Wind资讯</w:t>
      </w:r>
    </w:p>
    <w:p>
      <w:pPr>
        <w:spacing w:line="340" w:lineRule="exact"/>
        <w:rPr>
          <w:rFonts w:ascii="黑体" w:hAnsi="宋体" w:eastAsia="黑体"/>
          <w:color w:val="000000"/>
          <w:sz w:val="24"/>
        </w:rPr>
      </w:pPr>
    </w:p>
    <w:p>
      <w:pPr>
        <w:spacing w:line="340" w:lineRule="exact"/>
        <w:rPr>
          <w:rFonts w:ascii="黑体" w:hAnsi="宋体" w:eastAsia="黑体"/>
          <w:color w:val="000000"/>
          <w:sz w:val="24"/>
        </w:rPr>
      </w:pPr>
      <w:r>
        <w:rPr>
          <w:rFonts w:hint="eastAsia" w:ascii="黑体" w:hAnsi="宋体" w:eastAsia="黑体"/>
          <w:color w:val="000000"/>
          <w:sz w:val="24"/>
        </w:rPr>
        <w:t>免责声明：</w:t>
      </w:r>
    </w:p>
    <w:p>
      <w:pPr>
        <w:spacing w:line="340" w:lineRule="exact"/>
        <w:ind w:firstLine="420" w:firstLineChars="200"/>
        <w:rPr>
          <w:rFonts w:ascii="宋体" w:hAnsi="宋体"/>
          <w:color w:val="000000"/>
        </w:rPr>
      </w:pPr>
      <w:r>
        <w:rPr>
          <w:rFonts w:hint="eastAsia" w:ascii="宋体" w:hAnsi="宋体"/>
          <w:color w:val="000000"/>
        </w:rPr>
        <w:t>本报告中的信息均来源于可信的公开资料或实地调研资料，但我公司对这些信息的准确性及完整性不作任何保证，也不保证本公司作出的任何建议不会发生任何变更。在任何情况下，报告中的信息或所表达的意见并不构成所述期货买卖的出价或询价。在任何情况下，我公司不就本报告中的任何内容对任何投资作出任何形式的担保。</w:t>
      </w:r>
    </w:p>
    <w:sectPr>
      <w:headerReference r:id="rId3" w:type="default"/>
      <w:footerReference r:id="rId5" w:type="default"/>
      <w:headerReference r:id="rId4" w:type="even"/>
      <w:footerReference r:id="rId6" w:type="even"/>
      <w:pgSz w:w="11906" w:h="16838"/>
      <w:pgMar w:top="1701" w:right="1274" w:bottom="1701" w:left="9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ˎ̥">
    <w:altName w:val="Times New Roman"/>
    <w:panose1 w:val="00000000000000000000"/>
    <w:charset w:val="00"/>
    <w:family w:val="auto"/>
    <w:pitch w:val="default"/>
    <w:sig w:usb0="00000000" w:usb1="00000000" w:usb2="00000000" w:usb3="00000000" w:csb0="00040001" w:csb1="00000000"/>
  </w:font>
  <w:font w:name="Arial Black">
    <w:panose1 w:val="020B0A04020102020204"/>
    <w:charset w:val="00"/>
    <w:family w:val="swiss"/>
    <w:pitch w:val="default"/>
    <w:sig w:usb0="A00002AF" w:usb1="400078FB" w:usb2="00000000" w:usb3="00000000" w:csb0="6000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page" w:x="10621" w:y="-182"/>
      <w:rPr>
        <w:rStyle w:val="91"/>
        <w:rFonts w:ascii="仿宋_GB2312" w:hAnsi="仿宋_GB2312" w:eastAsia="仿宋_GB2312"/>
        <w:color w:val="CC0000"/>
        <w:sz w:val="22"/>
      </w:rPr>
    </w:pPr>
    <w:r>
      <w:rPr>
        <w:rFonts w:hint="eastAsia" w:ascii="仿宋_GB2312" w:hAnsi="仿宋_GB2312" w:eastAsia="仿宋_GB2312"/>
        <w:b/>
        <w:color w:val="CC0000"/>
        <w:sz w:val="30"/>
      </w:rPr>
      <w:fldChar w:fldCharType="begin"/>
    </w:r>
    <w:r>
      <w:rPr>
        <w:rStyle w:val="91"/>
        <w:rFonts w:hint="eastAsia" w:ascii="仿宋_GB2312" w:hAnsi="仿宋_GB2312" w:eastAsia="仿宋_GB2312"/>
        <w:b/>
        <w:color w:val="CC0000"/>
        <w:sz w:val="30"/>
      </w:rPr>
      <w:instrText xml:space="preserve">PAGE  </w:instrText>
    </w:r>
    <w:r>
      <w:rPr>
        <w:rFonts w:hint="eastAsia" w:ascii="仿宋_GB2312" w:hAnsi="仿宋_GB2312" w:eastAsia="仿宋_GB2312"/>
        <w:b/>
        <w:color w:val="CC0000"/>
        <w:sz w:val="30"/>
      </w:rPr>
      <w:fldChar w:fldCharType="separate"/>
    </w:r>
    <w:r>
      <w:rPr>
        <w:rStyle w:val="91"/>
        <w:rFonts w:ascii="仿宋_GB2312" w:hAnsi="仿宋_GB2312" w:eastAsia="仿宋_GB2312"/>
        <w:b/>
        <w:color w:val="CC0000"/>
        <w:sz w:val="30"/>
      </w:rPr>
      <w:t>1</w:t>
    </w:r>
    <w:r>
      <w:rPr>
        <w:rFonts w:hint="eastAsia" w:ascii="仿宋_GB2312" w:hAnsi="仿宋_GB2312" w:eastAsia="仿宋_GB2312"/>
        <w:b/>
        <w:color w:val="CC0000"/>
        <w:sz w:val="30"/>
      </w:rPr>
      <w:fldChar w:fldCharType="end"/>
    </w:r>
  </w:p>
  <w:p>
    <w:pPr>
      <w:pStyle w:val="55"/>
      <w:rPr>
        <w:sz w:val="21"/>
      </w:rPr>
    </w:pPr>
    <w:r>
      <mc:AlternateContent>
        <mc:Choice Requires="wps">
          <w:drawing>
            <wp:anchor distT="0" distB="0" distL="114300" distR="114300" simplePos="0" relativeHeight="251663360"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wps:spPr>
                    <wps:bodyPr wrap="square" upright="1"/>
                  </wps:wsp>
                </a:graphicData>
              </a:graphic>
            </wp:anchor>
          </w:drawing>
        </mc:Choice>
        <mc:Fallback>
          <w:pict>
            <v:rect id="Rectangle 8" o:spid="_x0000_s1026" o:spt="1" style="position:absolute;left:0pt;margin-left:477.85pt;margin-top:755.85pt;height:23.4pt;width:27pt;mso-position-vertical-relative:page;z-index:251663360;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Oz+Y99sAAAAOAQAA&#10;DwAAAAAAAAABACAAAAAiAAAAZHJzL2Rvd25yZXYueG1sUEsBAhQAFAAAAAgAh07iQGv0RrHdAQAA&#10;uAMAAA4AAAAAAAAAAQAgAAAAKgEAAGRycy9lMm9Eb2MueG1sUEsFBgAAAAAGAAYAWQEAAHkFAAAA&#10;AA==&#10;">
              <v:fill on="f" focussize="0,0"/>
              <v:stroke weight="2pt" color="#CC0000" joinstyle="miter"/>
              <v:imagedata o:title=""/>
              <o:lock v:ext="edit" aspectratio="f"/>
            </v:rect>
          </w:pict>
        </mc:Fallback>
      </mc:AlternateContent>
    </w:r>
    <w:r>
      <w:rPr>
        <w:sz w:val="20"/>
        <w:u w:val="thick"/>
      </w:rPr>
      <mc:AlternateContent>
        <mc:Choice Requires="wps">
          <w:drawing>
            <wp:anchor distT="0" distB="0" distL="114300" distR="114300" simplePos="0" relativeHeight="251662336"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wps:spPr>
                    <wps:txbx>
                      <w:txbxContent>
                        <w:p>
                          <w:pPr>
                            <w:ind w:firstLine="361" w:firstLineChars="150"/>
                            <w:jc w:val="center"/>
                            <w:rPr>
                              <w:rFonts w:ascii="宋体" w:hAnsi="宋体"/>
                              <w:b/>
                              <w:color w:val="FFFFFF"/>
                              <w:sz w:val="24"/>
                            </w:rPr>
                          </w:pPr>
                          <w:r>
                            <w:rPr>
                              <w:rFonts w:hint="eastAsia" w:ascii="宋体" w:hAnsi="宋体"/>
                              <w:b/>
                              <w:color w:val="FFFFFF"/>
                              <w:sz w:val="24"/>
                            </w:rPr>
                            <w:t>期市有风险 投资须谨慎</w:t>
                          </w:r>
                        </w:p>
                      </w:txbxContent>
                    </wps:txbx>
                    <wps:bodyPr wrap="square" upright="1"/>
                  </wps:wsp>
                </a:graphicData>
              </a:graphic>
            </wp:anchor>
          </w:drawing>
        </mc:Choice>
        <mc:Fallback>
          <w:pict>
            <v:rect id="Rectangle 7" o:spid="_x0000_s1026" o:spt="1" style="position:absolute;left:0pt;margin-left:162.7pt;margin-top:755.85pt;height:23.4pt;width:314.6pt;mso-position-vertical-relative:page;z-index:251662336;mso-width-relative:page;mso-height-relative:page;" fillcolor="#CC0000" filled="t" stroked="t" coordsize="21600,21600" o:gfxdata="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SgwO&#10;uNsAAAANAQAADwAAAAAAAAABACAAAAAiAAAAZHJzL2Rvd25yZXYueG1sUEsBAhQAFAAAAAgAh07i&#10;QCWTlgvmAQAA7QMAAA4AAAAAAAAAAQAgAAAAKgEAAGRycy9lMm9Eb2MueG1sUEsFBgAAAAAGAAYA&#10;WQEAAIIFAAAAAA==&#10;">
              <v:fill on="t" focussize="0,0"/>
              <v:stroke weight="2pt" color="#CC0000" joinstyle="miter"/>
              <v:imagedata o:title=""/>
              <o:lock v:ext="edit" aspectratio="f"/>
              <v:textbox>
                <w:txbxContent>
                  <w:p>
                    <w:pPr>
                      <w:ind w:firstLine="361" w:firstLineChars="150"/>
                      <w:jc w:val="center"/>
                      <w:rPr>
                        <w:rFonts w:ascii="宋体" w:hAnsi="宋体"/>
                        <w:b/>
                        <w:color w:val="FFFFFF"/>
                        <w:sz w:val="24"/>
                      </w:rPr>
                    </w:pPr>
                    <w:r>
                      <w:rPr>
                        <w:rFonts w:hint="eastAsia" w:ascii="宋体" w:hAnsi="宋体"/>
                        <w:b/>
                        <w:color w:val="FFFFFF"/>
                        <w:sz w:val="24"/>
                      </w:rPr>
                      <w:t>期市有风险 投资须谨慎</w:t>
                    </w:r>
                  </w:p>
                </w:txbxContent>
              </v:textbox>
            </v:rect>
          </w:pict>
        </mc:Fallback>
      </mc:AlternateContent>
    </w:r>
    <w:r>
      <w:rPr>
        <w:rFonts w:hint="eastAsia"/>
        <w:sz w:val="21"/>
      </w:rPr>
      <w:t>`</w:t>
    </w:r>
  </w:p>
  <w:p>
    <w:pPr>
      <w:pStyle w:val="55"/>
    </w:pPr>
    <w:r>
      <mc:AlternateContent>
        <mc:Choice Requires="wps">
          <w:drawing>
            <wp:anchor distT="0" distB="0" distL="114300" distR="114300" simplePos="0" relativeHeight="251664384"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wps:spPr>
                    <wps:txbx>
                      <w:txbxContent>
                        <w:p>
                          <w:pPr>
                            <w:jc w:val="center"/>
                            <w:rPr>
                              <w:rFonts w:ascii="宋体" w:hAnsi="宋体"/>
                              <w:b/>
                              <w:color w:val="CC0000"/>
                            </w:rPr>
                          </w:pPr>
                          <w:r>
                            <w:rPr>
                              <w:rFonts w:hint="eastAsia" w:ascii="宋体" w:hAnsi="宋体"/>
                              <w:b/>
                              <w:color w:val="CC0000"/>
                            </w:rPr>
                            <w:t>敬请参阅文后的免责声明</w:t>
                          </w:r>
                        </w:p>
                      </w:txbxContent>
                    </wps:txbx>
                    <wps:bodyPr wrap="square" upright="1"/>
                  </wps:wsp>
                </a:graphicData>
              </a:graphic>
            </wp:anchor>
          </w:drawing>
        </mc:Choice>
        <mc:Fallback>
          <w:pict>
            <v:shape id="Text Box 6" o:spid="_x0000_s1026" o:spt="202" type="#_x0000_t202" style="position:absolute;left:0pt;margin-left:-19.2pt;margin-top:755.85pt;height:23.4pt;width:180pt;mso-position-vertical-relative:page;z-index:251664384;mso-width-relative:page;mso-height-relative:page;" filled="f" stroked="t" coordsize="21600,21600" o:gfxdata="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veT53a&#10;AAAADQEAAA8AAAAAAAAAAQAgAAAAIgAAAGRycy9kb3ducmV2LnhtbFBLAQIUABQAAAAIAIdO4kBQ&#10;pvm95QEAAM0DAAAOAAAAAAAAAAEAIAAAACkBAABkcnMvZTJvRG9jLnhtbFBLBQYAAAAABgAGAFkB&#10;AACABQAAAAA=&#10;">
              <v:fill on="f" focussize="0,0"/>
              <v:stroke weight="2pt" color="#CC0000" joinstyle="miter"/>
              <v:imagedata o:title=""/>
              <o:lock v:ext="edit" aspectratio="f"/>
              <v:textbox>
                <w:txbxContent>
                  <w:p>
                    <w:pPr>
                      <w:jc w:val="center"/>
                      <w:rPr>
                        <w:rFonts w:ascii="宋体" w:hAnsi="宋体"/>
                        <w:b/>
                        <w:color w:val="CC0000"/>
                      </w:rPr>
                    </w:pPr>
                    <w:r>
                      <w:rPr>
                        <w:rFonts w:hint="eastAsia" w:ascii="宋体" w:hAnsi="宋体"/>
                        <w:b/>
                        <w:color w:val="CC0000"/>
                      </w:rPr>
                      <w:t>敬请参阅文后的免责声明</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rPr>
        <w:b/>
        <w:i/>
        <w:sz w:val="21"/>
      </w:rPr>
    </w:pPr>
    <w:r>
      <w:rPr>
        <w:rFonts w:hint="eastAsia"/>
        <w:b/>
        <w:i/>
        <w:sz w:val="21"/>
      </w:rPr>
      <w:t xml:space="preserve">内部交流资料，仅供参考                                                       </w:t>
    </w:r>
    <w:r>
      <w:fldChar w:fldCharType="begin"/>
    </w:r>
    <w:r>
      <w:rPr>
        <w:rStyle w:val="91"/>
      </w:rPr>
      <w:instrText xml:space="preserve"> PAGE </w:instrText>
    </w:r>
    <w:r>
      <w:fldChar w:fldCharType="separate"/>
    </w:r>
    <w:r>
      <w:rPr>
        <w:rStyle w:val="91"/>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hAnsi="宋体"/>
        <w:kern w:val="0"/>
        <w:sz w:val="24"/>
      </w:rPr>
    </w:pPr>
    <w:r>
      <w:drawing>
        <wp:anchor distT="0" distB="0" distL="114300" distR="114300" simplePos="0" relativeHeight="251665408" behindDoc="0" locked="0" layoutInCell="1" allowOverlap="1">
          <wp:simplePos x="0" y="0"/>
          <wp:positionH relativeFrom="column">
            <wp:posOffset>-318135</wp:posOffset>
          </wp:positionH>
          <wp:positionV relativeFrom="paragraph">
            <wp:posOffset>12065</wp:posOffset>
          </wp:positionV>
          <wp:extent cx="2548890" cy="467995"/>
          <wp:effectExtent l="19050" t="0" r="3751" b="0"/>
          <wp:wrapNone/>
          <wp:docPr id="11" name="图片 9" descr="C:\Documents and Settings\Administrator\Application Data\Tencent\Users\546561691\QQ\WinTemp\RichOle\0)8_BB~N77${E0Z8}Y~7U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C:\Documents and Settings\Administrator\Application Data\Tencent\Users\546561691\QQ\WinTemp\RichOle\0)8_BB~N77${E0Z8}Y~7UIU.png"/>
                  <pic:cNvPicPr>
                    <a:picLocks noChangeAspect="1"/>
                  </pic:cNvPicPr>
                </pic:nvPicPr>
                <pic:blipFill>
                  <a:blip r:embed="rId1" r:link="rId2"/>
                  <a:stretch>
                    <a:fillRect/>
                  </a:stretch>
                </pic:blipFill>
                <pic:spPr>
                  <a:xfrm>
                    <a:off x="0" y="0"/>
                    <a:ext cx="2548949" cy="467833"/>
                  </a:xfrm>
                  <a:prstGeom prst="rect">
                    <a:avLst/>
                  </a:prstGeom>
                  <a:noFill/>
                  <a:ln w="9525">
                    <a:noFill/>
                  </a:ln>
                </pic:spPr>
              </pic:pic>
            </a:graphicData>
          </a:graphic>
        </wp:anchor>
      </w:drawing>
    </w:r>
    <w:r>
      <mc:AlternateContent>
        <mc:Choice Requires="wps">
          <w:drawing>
            <wp:anchor distT="0" distB="0" distL="114300" distR="114300" simplePos="0" relativeHeight="251658240"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wps:spPr>
                    <wps:txbx>
                      <w:txbxContent>
                        <w:p>
                          <w:pPr>
                            <w:ind w:firstLine="1299" w:firstLineChars="539"/>
                            <w:rPr>
                              <w:rFonts w:ascii="黑体" w:eastAsia="黑体"/>
                              <w:b/>
                              <w:color w:val="000000"/>
                              <w:sz w:val="24"/>
                            </w:rPr>
                          </w:pPr>
                          <w:r>
                            <w:rPr>
                              <w:rFonts w:hint="eastAsia" w:ascii="黑体" w:eastAsia="黑体"/>
                              <w:b/>
                              <w:color w:val="000000"/>
                              <w:sz w:val="24"/>
                            </w:rPr>
                            <w:t>盘前交易提示</w:t>
                          </w:r>
                        </w:p>
                      </w:txbxContent>
                    </wps:txbx>
                    <wps:bodyPr wrap="square" upright="1"/>
                  </wps:wsp>
                </a:graphicData>
              </a:graphic>
            </wp:anchor>
          </w:drawing>
        </mc:Choice>
        <mc:Fallback>
          <w:pict>
            <v:roundrect id="AutoShape 5" o:spid="_x0000_s1026" o:spt="2" style="position:absolute;left:0pt;margin-left:336.5pt;margin-top:3.5pt;height:31.2pt;width:158.25pt;z-index:251658240;mso-width-relative:page;mso-height-relative:page;" filled="f" stroked="f" coordsize="21600,21600" arcsize="0.166666666666667" o:gfxdata="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I2aBNgAAAAI&#10;AQAADwAAAAAAAAABACAAAAAiAAAAZHJzL2Rvd25yZXYueG1sUEsBAhQAFAAAAAgAh07iQBPTOlCq&#10;AQAAPgMAAA4AAAAAAAAAAQAgAAAAJwEAAGRycy9lMm9Eb2MueG1sUEsFBgAAAAAGAAYAWQEAAEMF&#10;AAAAAA==&#10;">
              <v:fill on="f" focussize="0,0"/>
              <v:stroke on="f"/>
              <v:imagedata o:title=""/>
              <o:lock v:ext="edit" aspectratio="f"/>
              <v:textbox>
                <w:txbxContent>
                  <w:p>
                    <w:pPr>
                      <w:ind w:firstLine="1299" w:firstLineChars="539"/>
                      <w:rPr>
                        <w:rFonts w:ascii="黑体" w:eastAsia="黑体"/>
                        <w:b/>
                        <w:color w:val="000000"/>
                        <w:sz w:val="24"/>
                      </w:rPr>
                    </w:pPr>
                    <w:r>
                      <w:rPr>
                        <w:rFonts w:hint="eastAsia" w:ascii="黑体" w:eastAsia="黑体"/>
                        <w:b/>
                        <w:color w:val="000000"/>
                        <w:sz w:val="24"/>
                      </w:rPr>
                      <w:t>盘前交易提示</w:t>
                    </w:r>
                  </w:p>
                </w:txbxContent>
              </v:textbox>
            </v:roundrect>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wps:spPr>
                    <wps:bodyPr/>
                  </wps:wsp>
                </a:graphicData>
              </a:graphic>
            </wp:anchor>
          </w:drawing>
        </mc:Choice>
        <mc:Fallback>
          <w:pict>
            <v:line id="Line 3" o:spid="_x0000_s1026" o:spt="20" style="position:absolute;left:0pt;margin-left:351pt;margin-top:34.7pt;height:0.05pt;width:144pt;z-index:251659264;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RJMbt9YAAAAJAQAADwAAAAAAAAABACAAAAAiAAAAZHJzL2Rvd25yZXYueG1sUEsBAhQA&#10;FAAAAAgAh07iQLw9R/27AQAAggMAAA4AAAAAAAAAAQAgAAAAJQEAAGRycy9lMm9Eb2MueG1sUEsF&#10;BgAAAAAGAAYAWQEAAFIFAAAAAA==&#10;">
              <v:fill on="f" focussize="0,0"/>
              <v:stroke weight="1.5pt" color="#CC0000" joinstyle="round"/>
              <v:imagedata o:title=""/>
              <o:lock v:ext="edit" aspectratio="f"/>
            </v:lin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wps:spPr>
                    <wps:bodyPr/>
                  </wps:wsp>
                </a:graphicData>
              </a:graphic>
            </wp:anchor>
          </w:drawing>
        </mc:Choice>
        <mc:Fallback>
          <w:pict>
            <v:line id="Line 4" o:spid="_x0000_s1026" o:spt="20" style="position:absolute;left:0pt;margin-left:342pt;margin-top:26.9pt;height:0.05pt;width:144pt;z-index:251660288;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mgoWw2gAAAAkBAAAPAAAAAAAAAAEAIAAAACIAAABkcnMvZG93bnJldi54bWxQ&#10;SwECFAAUAAAACACHTuJAvVms1LwBAACCAwAADgAAAAAAAAABACAAAAApAQAAZHJzL2Uyb0RvYy54&#10;bWxQSwUGAAAAAAYABgBZAQAAVwUAAAAA&#10;">
              <v:fill on="f" focussize="0,0"/>
              <v:stroke weight="1.25pt" color="#CC0000" joinstyle="round"/>
              <v:imagedata o:title=""/>
              <o:lock v:ext="edit" aspectratio="f"/>
            </v:line>
          </w:pict>
        </mc:Fallback>
      </mc:AlternateContent>
    </w:r>
    <w:r>
      <w:t xml:space="preserve"> </w:t>
    </w:r>
  </w:p>
  <w:p>
    <w:pPr>
      <w:pStyle w:val="57"/>
      <w:pBdr>
        <w:bottom w:val="none" w:color="auto" w:sz="0" w:space="0"/>
      </w:pBdr>
      <w:jc w:val="both"/>
    </w:pPr>
    <w:r>
      <mc:AlternateContent>
        <mc:Choice Requires="wps">
          <w:drawing>
            <wp:anchor distT="0" distB="0" distL="114300" distR="114300" simplePos="0" relativeHeight="251661312"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wps:spPr>
                    <wps:bodyPr/>
                  </wps:wsp>
                </a:graphicData>
              </a:graphic>
            </wp:anchor>
          </w:drawing>
        </mc:Choice>
        <mc:Fallback>
          <w:pict>
            <v:line id="Line 1" o:spid="_x0000_s1026" o:spt="20" style="position:absolute;left:0pt;margin-left:-17.65pt;margin-top:85.05pt;height:0.9pt;width:521.55pt;mso-position-vertical-relative:page;z-index:251661312;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D4gof3aAAAADAEAAA8AAAAAAAAAAQAgAAAAIgAAAGRycy9kb3ducmV2&#10;LnhtbFBLAQIUABQAAAAIAIdO4kA8LTRSwQEAAIQDAAAOAAAAAAAAAAEAIAAAACkBAABkcnMvZTJv&#10;RG9jLnhtbFBLBQYAAAAABgAGAFkBAABcBQAAAAA=&#10;">
              <v:fill on="f" focussize="0,0"/>
              <v:stroke weight="2pt" color="#CC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rPr>
        <w:rFonts w:hint="eastAsia"/>
        <w:i/>
        <w:sz w:val="21"/>
      </w:rPr>
      <w:t xml:space="preserve">新世纪期货市场研发部       </w:t>
    </w:r>
    <w:r>
      <w:rPr>
        <w:rFonts w:hint="eastAsia"/>
      </w:rPr>
      <w:t xml:space="preserve">                                    </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tentative="0">
      <w:start w:val="1"/>
      <w:numFmt w:val="japaneseCounting"/>
      <w:lvlText w:val="%1、"/>
      <w:lvlJc w:val="left"/>
      <w:pPr>
        <w:tabs>
          <w:tab w:val="left" w:pos="720"/>
        </w:tabs>
        <w:ind w:left="720" w:hanging="720"/>
      </w:pPr>
      <w:rPr>
        <w:rFonts w:hint="default"/>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attachedTemplate r:id="rId1"/>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1578"/>
    <w:rsid w:val="00001F4A"/>
    <w:rsid w:val="00002F49"/>
    <w:rsid w:val="000032AB"/>
    <w:rsid w:val="000055D3"/>
    <w:rsid w:val="0000696A"/>
    <w:rsid w:val="00010961"/>
    <w:rsid w:val="0001284A"/>
    <w:rsid w:val="00014FDA"/>
    <w:rsid w:val="000152EA"/>
    <w:rsid w:val="000157B5"/>
    <w:rsid w:val="00016995"/>
    <w:rsid w:val="00016BE2"/>
    <w:rsid w:val="00016C70"/>
    <w:rsid w:val="00016F0C"/>
    <w:rsid w:val="000177BD"/>
    <w:rsid w:val="00017EC7"/>
    <w:rsid w:val="00021E93"/>
    <w:rsid w:val="0002352F"/>
    <w:rsid w:val="00023886"/>
    <w:rsid w:val="000262CA"/>
    <w:rsid w:val="00026E4C"/>
    <w:rsid w:val="000310AA"/>
    <w:rsid w:val="00031C98"/>
    <w:rsid w:val="0003281A"/>
    <w:rsid w:val="00033F3A"/>
    <w:rsid w:val="00034581"/>
    <w:rsid w:val="00036AC4"/>
    <w:rsid w:val="00036FD3"/>
    <w:rsid w:val="000400BC"/>
    <w:rsid w:val="000406F0"/>
    <w:rsid w:val="00040859"/>
    <w:rsid w:val="00040994"/>
    <w:rsid w:val="00041866"/>
    <w:rsid w:val="00041E8A"/>
    <w:rsid w:val="00042D12"/>
    <w:rsid w:val="00042F93"/>
    <w:rsid w:val="000442FD"/>
    <w:rsid w:val="00044BC0"/>
    <w:rsid w:val="00046ED2"/>
    <w:rsid w:val="00050601"/>
    <w:rsid w:val="000541F2"/>
    <w:rsid w:val="000554FC"/>
    <w:rsid w:val="0005583B"/>
    <w:rsid w:val="000565D3"/>
    <w:rsid w:val="00061E6A"/>
    <w:rsid w:val="00062191"/>
    <w:rsid w:val="00062941"/>
    <w:rsid w:val="00063135"/>
    <w:rsid w:val="00063A25"/>
    <w:rsid w:val="00065F66"/>
    <w:rsid w:val="00065FCE"/>
    <w:rsid w:val="00067F09"/>
    <w:rsid w:val="00072621"/>
    <w:rsid w:val="0007298A"/>
    <w:rsid w:val="0007459E"/>
    <w:rsid w:val="00074CDA"/>
    <w:rsid w:val="00081368"/>
    <w:rsid w:val="0008138A"/>
    <w:rsid w:val="000820DA"/>
    <w:rsid w:val="000822E8"/>
    <w:rsid w:val="00082E1B"/>
    <w:rsid w:val="00082EF4"/>
    <w:rsid w:val="000858FA"/>
    <w:rsid w:val="00085936"/>
    <w:rsid w:val="00086087"/>
    <w:rsid w:val="00087AEE"/>
    <w:rsid w:val="00093D04"/>
    <w:rsid w:val="000944C3"/>
    <w:rsid w:val="00095E92"/>
    <w:rsid w:val="00096881"/>
    <w:rsid w:val="000970DA"/>
    <w:rsid w:val="00097D48"/>
    <w:rsid w:val="000A1241"/>
    <w:rsid w:val="000A201F"/>
    <w:rsid w:val="000A4113"/>
    <w:rsid w:val="000A73DA"/>
    <w:rsid w:val="000A7743"/>
    <w:rsid w:val="000B059A"/>
    <w:rsid w:val="000B527C"/>
    <w:rsid w:val="000B65A1"/>
    <w:rsid w:val="000C0DAC"/>
    <w:rsid w:val="000C188D"/>
    <w:rsid w:val="000C34D3"/>
    <w:rsid w:val="000C57BB"/>
    <w:rsid w:val="000C584A"/>
    <w:rsid w:val="000C694B"/>
    <w:rsid w:val="000C7A0D"/>
    <w:rsid w:val="000D063F"/>
    <w:rsid w:val="000D0BD1"/>
    <w:rsid w:val="000D11E3"/>
    <w:rsid w:val="000D15C1"/>
    <w:rsid w:val="000D5673"/>
    <w:rsid w:val="000E0951"/>
    <w:rsid w:val="000E1BD5"/>
    <w:rsid w:val="000E273D"/>
    <w:rsid w:val="000E3129"/>
    <w:rsid w:val="000E3C4A"/>
    <w:rsid w:val="000E4972"/>
    <w:rsid w:val="000E4ED2"/>
    <w:rsid w:val="000E5C01"/>
    <w:rsid w:val="000F001D"/>
    <w:rsid w:val="000F39AD"/>
    <w:rsid w:val="000F3B3C"/>
    <w:rsid w:val="000F4B79"/>
    <w:rsid w:val="00100969"/>
    <w:rsid w:val="001023E9"/>
    <w:rsid w:val="00103CB5"/>
    <w:rsid w:val="00104535"/>
    <w:rsid w:val="00105581"/>
    <w:rsid w:val="00105CBD"/>
    <w:rsid w:val="00106E25"/>
    <w:rsid w:val="00107604"/>
    <w:rsid w:val="00107FFC"/>
    <w:rsid w:val="00112CAD"/>
    <w:rsid w:val="00113026"/>
    <w:rsid w:val="00113CFE"/>
    <w:rsid w:val="00113DD7"/>
    <w:rsid w:val="00114823"/>
    <w:rsid w:val="001159C1"/>
    <w:rsid w:val="00116A2B"/>
    <w:rsid w:val="00116B1F"/>
    <w:rsid w:val="001179D1"/>
    <w:rsid w:val="0012037C"/>
    <w:rsid w:val="001213C3"/>
    <w:rsid w:val="00121A73"/>
    <w:rsid w:val="00122625"/>
    <w:rsid w:val="00122853"/>
    <w:rsid w:val="001237E4"/>
    <w:rsid w:val="00123FDD"/>
    <w:rsid w:val="00124D52"/>
    <w:rsid w:val="0012604C"/>
    <w:rsid w:val="001262DB"/>
    <w:rsid w:val="00126772"/>
    <w:rsid w:val="00126A7B"/>
    <w:rsid w:val="001334B0"/>
    <w:rsid w:val="00133C77"/>
    <w:rsid w:val="00135D81"/>
    <w:rsid w:val="001379D9"/>
    <w:rsid w:val="001437FB"/>
    <w:rsid w:val="00143AA4"/>
    <w:rsid w:val="00150848"/>
    <w:rsid w:val="00150AC9"/>
    <w:rsid w:val="00151B7C"/>
    <w:rsid w:val="00153190"/>
    <w:rsid w:val="00153786"/>
    <w:rsid w:val="001545E6"/>
    <w:rsid w:val="001548A4"/>
    <w:rsid w:val="00157BF3"/>
    <w:rsid w:val="0016188E"/>
    <w:rsid w:val="00161CBE"/>
    <w:rsid w:val="001644DF"/>
    <w:rsid w:val="00164951"/>
    <w:rsid w:val="001654AC"/>
    <w:rsid w:val="00165C77"/>
    <w:rsid w:val="00167487"/>
    <w:rsid w:val="00171054"/>
    <w:rsid w:val="001715CC"/>
    <w:rsid w:val="00172245"/>
    <w:rsid w:val="00172A27"/>
    <w:rsid w:val="001732F3"/>
    <w:rsid w:val="00173952"/>
    <w:rsid w:val="00176D9E"/>
    <w:rsid w:val="0018054E"/>
    <w:rsid w:val="00180D66"/>
    <w:rsid w:val="00181B67"/>
    <w:rsid w:val="00181C45"/>
    <w:rsid w:val="001822F7"/>
    <w:rsid w:val="0018271B"/>
    <w:rsid w:val="001835EC"/>
    <w:rsid w:val="0018365A"/>
    <w:rsid w:val="00183E89"/>
    <w:rsid w:val="00186FCF"/>
    <w:rsid w:val="00187EB2"/>
    <w:rsid w:val="00190EFE"/>
    <w:rsid w:val="00191800"/>
    <w:rsid w:val="00191C04"/>
    <w:rsid w:val="001921C3"/>
    <w:rsid w:val="00192D58"/>
    <w:rsid w:val="001943B5"/>
    <w:rsid w:val="00195DD3"/>
    <w:rsid w:val="0019679A"/>
    <w:rsid w:val="00196ACE"/>
    <w:rsid w:val="00197B14"/>
    <w:rsid w:val="001A0B63"/>
    <w:rsid w:val="001A3D40"/>
    <w:rsid w:val="001A5D24"/>
    <w:rsid w:val="001A6121"/>
    <w:rsid w:val="001A703F"/>
    <w:rsid w:val="001A75B1"/>
    <w:rsid w:val="001B0026"/>
    <w:rsid w:val="001B42AB"/>
    <w:rsid w:val="001B4605"/>
    <w:rsid w:val="001B488A"/>
    <w:rsid w:val="001B4D86"/>
    <w:rsid w:val="001C38C2"/>
    <w:rsid w:val="001C3D1B"/>
    <w:rsid w:val="001C4A42"/>
    <w:rsid w:val="001D04F3"/>
    <w:rsid w:val="001D2B47"/>
    <w:rsid w:val="001D2BF9"/>
    <w:rsid w:val="001D5EBD"/>
    <w:rsid w:val="001D6664"/>
    <w:rsid w:val="001D7D83"/>
    <w:rsid w:val="001E08B2"/>
    <w:rsid w:val="001E09A7"/>
    <w:rsid w:val="001E1CBB"/>
    <w:rsid w:val="001E1D79"/>
    <w:rsid w:val="001E2A39"/>
    <w:rsid w:val="001E6B37"/>
    <w:rsid w:val="001F0F60"/>
    <w:rsid w:val="001F2865"/>
    <w:rsid w:val="001F41B2"/>
    <w:rsid w:val="001F4986"/>
    <w:rsid w:val="001F4DF9"/>
    <w:rsid w:val="001F5439"/>
    <w:rsid w:val="001F57E5"/>
    <w:rsid w:val="001F5844"/>
    <w:rsid w:val="001F5B46"/>
    <w:rsid w:val="001F5CAD"/>
    <w:rsid w:val="001F5D78"/>
    <w:rsid w:val="001F666D"/>
    <w:rsid w:val="001F683D"/>
    <w:rsid w:val="001F6DFD"/>
    <w:rsid w:val="001F7638"/>
    <w:rsid w:val="0020041D"/>
    <w:rsid w:val="002016D3"/>
    <w:rsid w:val="00201821"/>
    <w:rsid w:val="00202AC3"/>
    <w:rsid w:val="00202C9C"/>
    <w:rsid w:val="00202E97"/>
    <w:rsid w:val="00203837"/>
    <w:rsid w:val="00204D97"/>
    <w:rsid w:val="00205030"/>
    <w:rsid w:val="0020792B"/>
    <w:rsid w:val="00207E4E"/>
    <w:rsid w:val="002111AA"/>
    <w:rsid w:val="0021130C"/>
    <w:rsid w:val="00211818"/>
    <w:rsid w:val="00211833"/>
    <w:rsid w:val="002119FA"/>
    <w:rsid w:val="00214121"/>
    <w:rsid w:val="00215705"/>
    <w:rsid w:val="00215874"/>
    <w:rsid w:val="0021631B"/>
    <w:rsid w:val="002168F5"/>
    <w:rsid w:val="00216E1E"/>
    <w:rsid w:val="00216EB0"/>
    <w:rsid w:val="00221D46"/>
    <w:rsid w:val="00224A39"/>
    <w:rsid w:val="0022541A"/>
    <w:rsid w:val="00225819"/>
    <w:rsid w:val="00227994"/>
    <w:rsid w:val="002306CE"/>
    <w:rsid w:val="0023095D"/>
    <w:rsid w:val="00230DD9"/>
    <w:rsid w:val="00231D4C"/>
    <w:rsid w:val="00233675"/>
    <w:rsid w:val="00233C14"/>
    <w:rsid w:val="00236A66"/>
    <w:rsid w:val="00236FFF"/>
    <w:rsid w:val="0023755D"/>
    <w:rsid w:val="002409D3"/>
    <w:rsid w:val="00241787"/>
    <w:rsid w:val="00242675"/>
    <w:rsid w:val="00243CA3"/>
    <w:rsid w:val="00243F35"/>
    <w:rsid w:val="002447C3"/>
    <w:rsid w:val="00246651"/>
    <w:rsid w:val="00246F70"/>
    <w:rsid w:val="00247C38"/>
    <w:rsid w:val="00250C1A"/>
    <w:rsid w:val="00250C95"/>
    <w:rsid w:val="00252D57"/>
    <w:rsid w:val="00253F7F"/>
    <w:rsid w:val="002562E3"/>
    <w:rsid w:val="002564B6"/>
    <w:rsid w:val="00257329"/>
    <w:rsid w:val="00257332"/>
    <w:rsid w:val="0026006C"/>
    <w:rsid w:val="0026029A"/>
    <w:rsid w:val="00261AA3"/>
    <w:rsid w:val="002649A0"/>
    <w:rsid w:val="00264FE8"/>
    <w:rsid w:val="00267809"/>
    <w:rsid w:val="00271BDD"/>
    <w:rsid w:val="0027227A"/>
    <w:rsid w:val="00273166"/>
    <w:rsid w:val="00273AB7"/>
    <w:rsid w:val="002743AD"/>
    <w:rsid w:val="00275CF0"/>
    <w:rsid w:val="00276BC2"/>
    <w:rsid w:val="00280BB4"/>
    <w:rsid w:val="00280E46"/>
    <w:rsid w:val="00280EF7"/>
    <w:rsid w:val="00282220"/>
    <w:rsid w:val="0028279F"/>
    <w:rsid w:val="00282BFA"/>
    <w:rsid w:val="00283E37"/>
    <w:rsid w:val="0028430E"/>
    <w:rsid w:val="00285A11"/>
    <w:rsid w:val="00285D26"/>
    <w:rsid w:val="00285D43"/>
    <w:rsid w:val="00285D52"/>
    <w:rsid w:val="002865E4"/>
    <w:rsid w:val="00286C89"/>
    <w:rsid w:val="00290507"/>
    <w:rsid w:val="002916BD"/>
    <w:rsid w:val="00291E1A"/>
    <w:rsid w:val="00294CDB"/>
    <w:rsid w:val="00296F89"/>
    <w:rsid w:val="00297DEC"/>
    <w:rsid w:val="002A0662"/>
    <w:rsid w:val="002A39D2"/>
    <w:rsid w:val="002A4310"/>
    <w:rsid w:val="002A57B7"/>
    <w:rsid w:val="002A632D"/>
    <w:rsid w:val="002A6D49"/>
    <w:rsid w:val="002A6E56"/>
    <w:rsid w:val="002A7335"/>
    <w:rsid w:val="002A75F5"/>
    <w:rsid w:val="002B0BD8"/>
    <w:rsid w:val="002B54FA"/>
    <w:rsid w:val="002B6396"/>
    <w:rsid w:val="002B798B"/>
    <w:rsid w:val="002B7CA7"/>
    <w:rsid w:val="002C1B1E"/>
    <w:rsid w:val="002C3AA5"/>
    <w:rsid w:val="002C4D18"/>
    <w:rsid w:val="002C78D8"/>
    <w:rsid w:val="002D01E7"/>
    <w:rsid w:val="002D03DF"/>
    <w:rsid w:val="002D1E20"/>
    <w:rsid w:val="002D2A8D"/>
    <w:rsid w:val="002D2ECB"/>
    <w:rsid w:val="002D48B6"/>
    <w:rsid w:val="002D61C8"/>
    <w:rsid w:val="002D6423"/>
    <w:rsid w:val="002D6A6E"/>
    <w:rsid w:val="002D6C54"/>
    <w:rsid w:val="002E0527"/>
    <w:rsid w:val="002E2EC3"/>
    <w:rsid w:val="002E3601"/>
    <w:rsid w:val="002E64A2"/>
    <w:rsid w:val="002E6B88"/>
    <w:rsid w:val="002E7062"/>
    <w:rsid w:val="002F009E"/>
    <w:rsid w:val="002F00D3"/>
    <w:rsid w:val="002F35C7"/>
    <w:rsid w:val="002F3D4E"/>
    <w:rsid w:val="002F3DE4"/>
    <w:rsid w:val="002F4092"/>
    <w:rsid w:val="002F4557"/>
    <w:rsid w:val="002F4C6D"/>
    <w:rsid w:val="002F564C"/>
    <w:rsid w:val="002F69E2"/>
    <w:rsid w:val="002F7478"/>
    <w:rsid w:val="0030009B"/>
    <w:rsid w:val="00300740"/>
    <w:rsid w:val="00300932"/>
    <w:rsid w:val="00301447"/>
    <w:rsid w:val="003045F6"/>
    <w:rsid w:val="00306680"/>
    <w:rsid w:val="00306AF8"/>
    <w:rsid w:val="003074D5"/>
    <w:rsid w:val="00311987"/>
    <w:rsid w:val="00312560"/>
    <w:rsid w:val="00314B59"/>
    <w:rsid w:val="003150D0"/>
    <w:rsid w:val="0031688B"/>
    <w:rsid w:val="00316C34"/>
    <w:rsid w:val="00321054"/>
    <w:rsid w:val="00322D39"/>
    <w:rsid w:val="003241F2"/>
    <w:rsid w:val="00324A6B"/>
    <w:rsid w:val="00325C9D"/>
    <w:rsid w:val="003260E0"/>
    <w:rsid w:val="003261BA"/>
    <w:rsid w:val="003278AA"/>
    <w:rsid w:val="003307F8"/>
    <w:rsid w:val="00330879"/>
    <w:rsid w:val="00331425"/>
    <w:rsid w:val="003329ED"/>
    <w:rsid w:val="003339EF"/>
    <w:rsid w:val="00341156"/>
    <w:rsid w:val="00343439"/>
    <w:rsid w:val="00343A6E"/>
    <w:rsid w:val="00343B9A"/>
    <w:rsid w:val="00344277"/>
    <w:rsid w:val="00345114"/>
    <w:rsid w:val="00346B53"/>
    <w:rsid w:val="003500F5"/>
    <w:rsid w:val="00350EF7"/>
    <w:rsid w:val="00350FDB"/>
    <w:rsid w:val="003548EA"/>
    <w:rsid w:val="00354918"/>
    <w:rsid w:val="00355474"/>
    <w:rsid w:val="00357C21"/>
    <w:rsid w:val="00361440"/>
    <w:rsid w:val="003637C7"/>
    <w:rsid w:val="00365288"/>
    <w:rsid w:val="003659B1"/>
    <w:rsid w:val="00365CD6"/>
    <w:rsid w:val="00365EF6"/>
    <w:rsid w:val="003663C8"/>
    <w:rsid w:val="003665CB"/>
    <w:rsid w:val="00366BDA"/>
    <w:rsid w:val="00367BE1"/>
    <w:rsid w:val="00367CCF"/>
    <w:rsid w:val="00367ECC"/>
    <w:rsid w:val="0037080F"/>
    <w:rsid w:val="00371A1D"/>
    <w:rsid w:val="0037270E"/>
    <w:rsid w:val="00372B49"/>
    <w:rsid w:val="003734E6"/>
    <w:rsid w:val="00374BB7"/>
    <w:rsid w:val="00374EF1"/>
    <w:rsid w:val="003775EE"/>
    <w:rsid w:val="0038030C"/>
    <w:rsid w:val="00380626"/>
    <w:rsid w:val="003831CB"/>
    <w:rsid w:val="003835B1"/>
    <w:rsid w:val="003911E6"/>
    <w:rsid w:val="00391679"/>
    <w:rsid w:val="00391E5E"/>
    <w:rsid w:val="0039315D"/>
    <w:rsid w:val="00393622"/>
    <w:rsid w:val="00397A0D"/>
    <w:rsid w:val="003A1027"/>
    <w:rsid w:val="003A17E9"/>
    <w:rsid w:val="003A2EE0"/>
    <w:rsid w:val="003A3378"/>
    <w:rsid w:val="003A5905"/>
    <w:rsid w:val="003A6091"/>
    <w:rsid w:val="003A64B0"/>
    <w:rsid w:val="003A686F"/>
    <w:rsid w:val="003A690A"/>
    <w:rsid w:val="003B0234"/>
    <w:rsid w:val="003B1349"/>
    <w:rsid w:val="003B177F"/>
    <w:rsid w:val="003B266E"/>
    <w:rsid w:val="003B352E"/>
    <w:rsid w:val="003B39C1"/>
    <w:rsid w:val="003B41A1"/>
    <w:rsid w:val="003B52CD"/>
    <w:rsid w:val="003B5711"/>
    <w:rsid w:val="003B6097"/>
    <w:rsid w:val="003C0F51"/>
    <w:rsid w:val="003C16D6"/>
    <w:rsid w:val="003C1C5A"/>
    <w:rsid w:val="003C2398"/>
    <w:rsid w:val="003C5C4C"/>
    <w:rsid w:val="003C632E"/>
    <w:rsid w:val="003C7A78"/>
    <w:rsid w:val="003D0054"/>
    <w:rsid w:val="003D0975"/>
    <w:rsid w:val="003D1171"/>
    <w:rsid w:val="003D1CFA"/>
    <w:rsid w:val="003D1E8C"/>
    <w:rsid w:val="003D2A20"/>
    <w:rsid w:val="003D4497"/>
    <w:rsid w:val="003D4CA7"/>
    <w:rsid w:val="003D51B0"/>
    <w:rsid w:val="003D522D"/>
    <w:rsid w:val="003D7FE3"/>
    <w:rsid w:val="003E04C8"/>
    <w:rsid w:val="003E330B"/>
    <w:rsid w:val="003E355B"/>
    <w:rsid w:val="003E58FF"/>
    <w:rsid w:val="003E5CA8"/>
    <w:rsid w:val="003F0AE9"/>
    <w:rsid w:val="003F0ED7"/>
    <w:rsid w:val="003F17D9"/>
    <w:rsid w:val="003F1C58"/>
    <w:rsid w:val="003F39F2"/>
    <w:rsid w:val="003F4676"/>
    <w:rsid w:val="003F4986"/>
    <w:rsid w:val="0040076F"/>
    <w:rsid w:val="00401496"/>
    <w:rsid w:val="004017D4"/>
    <w:rsid w:val="00402109"/>
    <w:rsid w:val="00402303"/>
    <w:rsid w:val="004025D6"/>
    <w:rsid w:val="00403252"/>
    <w:rsid w:val="004041B4"/>
    <w:rsid w:val="0040615B"/>
    <w:rsid w:val="0040799E"/>
    <w:rsid w:val="004107DE"/>
    <w:rsid w:val="00414417"/>
    <w:rsid w:val="00415DC6"/>
    <w:rsid w:val="00416433"/>
    <w:rsid w:val="00416541"/>
    <w:rsid w:val="004169D1"/>
    <w:rsid w:val="004172EB"/>
    <w:rsid w:val="00417C68"/>
    <w:rsid w:val="00417FBC"/>
    <w:rsid w:val="00420E86"/>
    <w:rsid w:val="00421F4C"/>
    <w:rsid w:val="004231B2"/>
    <w:rsid w:val="00423C9F"/>
    <w:rsid w:val="00423F7E"/>
    <w:rsid w:val="0042491D"/>
    <w:rsid w:val="0042608E"/>
    <w:rsid w:val="004263E2"/>
    <w:rsid w:val="0043080E"/>
    <w:rsid w:val="00430DCF"/>
    <w:rsid w:val="00431150"/>
    <w:rsid w:val="00431B7D"/>
    <w:rsid w:val="00433EB1"/>
    <w:rsid w:val="004424C9"/>
    <w:rsid w:val="00443280"/>
    <w:rsid w:val="00443C0F"/>
    <w:rsid w:val="00443C42"/>
    <w:rsid w:val="004443A6"/>
    <w:rsid w:val="004445D9"/>
    <w:rsid w:val="0044553B"/>
    <w:rsid w:val="004468FE"/>
    <w:rsid w:val="00450999"/>
    <w:rsid w:val="00450A34"/>
    <w:rsid w:val="00450D06"/>
    <w:rsid w:val="00451DDB"/>
    <w:rsid w:val="00453373"/>
    <w:rsid w:val="0045751C"/>
    <w:rsid w:val="00460351"/>
    <w:rsid w:val="00461891"/>
    <w:rsid w:val="00462109"/>
    <w:rsid w:val="00462B64"/>
    <w:rsid w:val="00462C40"/>
    <w:rsid w:val="00463BB6"/>
    <w:rsid w:val="004645DD"/>
    <w:rsid w:val="00464668"/>
    <w:rsid w:val="004664D3"/>
    <w:rsid w:val="00466A26"/>
    <w:rsid w:val="00467261"/>
    <w:rsid w:val="00470D1D"/>
    <w:rsid w:val="00470DB6"/>
    <w:rsid w:val="00472156"/>
    <w:rsid w:val="0047300F"/>
    <w:rsid w:val="00473125"/>
    <w:rsid w:val="00473A95"/>
    <w:rsid w:val="004753DB"/>
    <w:rsid w:val="004768BB"/>
    <w:rsid w:val="0047771F"/>
    <w:rsid w:val="00477BEB"/>
    <w:rsid w:val="0048068D"/>
    <w:rsid w:val="00480BFE"/>
    <w:rsid w:val="00481A39"/>
    <w:rsid w:val="00482D4A"/>
    <w:rsid w:val="00483F7E"/>
    <w:rsid w:val="004843D1"/>
    <w:rsid w:val="00486872"/>
    <w:rsid w:val="004869E6"/>
    <w:rsid w:val="00491B7B"/>
    <w:rsid w:val="0049304A"/>
    <w:rsid w:val="00493424"/>
    <w:rsid w:val="00494105"/>
    <w:rsid w:val="004950DB"/>
    <w:rsid w:val="00495334"/>
    <w:rsid w:val="00495787"/>
    <w:rsid w:val="00495BE5"/>
    <w:rsid w:val="00497665"/>
    <w:rsid w:val="004A26BC"/>
    <w:rsid w:val="004A5AF8"/>
    <w:rsid w:val="004A6029"/>
    <w:rsid w:val="004A740C"/>
    <w:rsid w:val="004A7B65"/>
    <w:rsid w:val="004A7F40"/>
    <w:rsid w:val="004B0198"/>
    <w:rsid w:val="004B0B56"/>
    <w:rsid w:val="004B1218"/>
    <w:rsid w:val="004B37A2"/>
    <w:rsid w:val="004B3C07"/>
    <w:rsid w:val="004B3DDD"/>
    <w:rsid w:val="004B406F"/>
    <w:rsid w:val="004B4328"/>
    <w:rsid w:val="004B4F75"/>
    <w:rsid w:val="004B5037"/>
    <w:rsid w:val="004B588A"/>
    <w:rsid w:val="004B5ABE"/>
    <w:rsid w:val="004B5ACE"/>
    <w:rsid w:val="004B610B"/>
    <w:rsid w:val="004B73AD"/>
    <w:rsid w:val="004B7DDD"/>
    <w:rsid w:val="004C051C"/>
    <w:rsid w:val="004C1032"/>
    <w:rsid w:val="004C3AFA"/>
    <w:rsid w:val="004C432F"/>
    <w:rsid w:val="004C6A7E"/>
    <w:rsid w:val="004D19F1"/>
    <w:rsid w:val="004D2011"/>
    <w:rsid w:val="004D3958"/>
    <w:rsid w:val="004D46CA"/>
    <w:rsid w:val="004D5CE9"/>
    <w:rsid w:val="004D5F2C"/>
    <w:rsid w:val="004D71F3"/>
    <w:rsid w:val="004D7418"/>
    <w:rsid w:val="004D76C3"/>
    <w:rsid w:val="004D7FF5"/>
    <w:rsid w:val="004E240C"/>
    <w:rsid w:val="004E2471"/>
    <w:rsid w:val="004E24F4"/>
    <w:rsid w:val="004E3A05"/>
    <w:rsid w:val="004E4959"/>
    <w:rsid w:val="004E5B47"/>
    <w:rsid w:val="004E62E8"/>
    <w:rsid w:val="004E6611"/>
    <w:rsid w:val="004E666A"/>
    <w:rsid w:val="004E6806"/>
    <w:rsid w:val="004E7C4E"/>
    <w:rsid w:val="004E7CB8"/>
    <w:rsid w:val="004F0A69"/>
    <w:rsid w:val="004F2CCD"/>
    <w:rsid w:val="004F321F"/>
    <w:rsid w:val="004F387F"/>
    <w:rsid w:val="004F51C3"/>
    <w:rsid w:val="004F56A7"/>
    <w:rsid w:val="004F60BE"/>
    <w:rsid w:val="005038F3"/>
    <w:rsid w:val="00503FCC"/>
    <w:rsid w:val="0050574B"/>
    <w:rsid w:val="00506946"/>
    <w:rsid w:val="00507934"/>
    <w:rsid w:val="005100D7"/>
    <w:rsid w:val="00511F9D"/>
    <w:rsid w:val="00513090"/>
    <w:rsid w:val="00514916"/>
    <w:rsid w:val="00515401"/>
    <w:rsid w:val="005164D7"/>
    <w:rsid w:val="00517BB8"/>
    <w:rsid w:val="00517C36"/>
    <w:rsid w:val="00521618"/>
    <w:rsid w:val="00521A54"/>
    <w:rsid w:val="00522B71"/>
    <w:rsid w:val="00524088"/>
    <w:rsid w:val="00525502"/>
    <w:rsid w:val="00525EE2"/>
    <w:rsid w:val="005267D5"/>
    <w:rsid w:val="00530AEE"/>
    <w:rsid w:val="00530C33"/>
    <w:rsid w:val="005319D0"/>
    <w:rsid w:val="00535B21"/>
    <w:rsid w:val="00540C36"/>
    <w:rsid w:val="00540F65"/>
    <w:rsid w:val="005410F6"/>
    <w:rsid w:val="00541408"/>
    <w:rsid w:val="00541626"/>
    <w:rsid w:val="0054208D"/>
    <w:rsid w:val="00543FF2"/>
    <w:rsid w:val="0054456F"/>
    <w:rsid w:val="005445D2"/>
    <w:rsid w:val="005447EF"/>
    <w:rsid w:val="00544D8F"/>
    <w:rsid w:val="00544E2B"/>
    <w:rsid w:val="00546986"/>
    <w:rsid w:val="0055042D"/>
    <w:rsid w:val="00550B6E"/>
    <w:rsid w:val="00550E67"/>
    <w:rsid w:val="00553DA8"/>
    <w:rsid w:val="00554519"/>
    <w:rsid w:val="00554C02"/>
    <w:rsid w:val="00555036"/>
    <w:rsid w:val="00555F40"/>
    <w:rsid w:val="0055753E"/>
    <w:rsid w:val="00562884"/>
    <w:rsid w:val="0056288E"/>
    <w:rsid w:val="00563184"/>
    <w:rsid w:val="00563494"/>
    <w:rsid w:val="00565826"/>
    <w:rsid w:val="00567E5B"/>
    <w:rsid w:val="00572513"/>
    <w:rsid w:val="00574344"/>
    <w:rsid w:val="00574B1D"/>
    <w:rsid w:val="00575AA2"/>
    <w:rsid w:val="00575D98"/>
    <w:rsid w:val="00576FE4"/>
    <w:rsid w:val="00577297"/>
    <w:rsid w:val="00577398"/>
    <w:rsid w:val="00577888"/>
    <w:rsid w:val="0057791D"/>
    <w:rsid w:val="0058167A"/>
    <w:rsid w:val="005819FD"/>
    <w:rsid w:val="00581CCE"/>
    <w:rsid w:val="0058212A"/>
    <w:rsid w:val="00582C8B"/>
    <w:rsid w:val="00583BF7"/>
    <w:rsid w:val="005847D3"/>
    <w:rsid w:val="00584B51"/>
    <w:rsid w:val="0058580B"/>
    <w:rsid w:val="00585AF7"/>
    <w:rsid w:val="005873D9"/>
    <w:rsid w:val="005875B1"/>
    <w:rsid w:val="0059091B"/>
    <w:rsid w:val="00592972"/>
    <w:rsid w:val="00593475"/>
    <w:rsid w:val="0059427F"/>
    <w:rsid w:val="00595336"/>
    <w:rsid w:val="0059538E"/>
    <w:rsid w:val="005966E8"/>
    <w:rsid w:val="005A3AEE"/>
    <w:rsid w:val="005A4288"/>
    <w:rsid w:val="005A4309"/>
    <w:rsid w:val="005A62A2"/>
    <w:rsid w:val="005A7022"/>
    <w:rsid w:val="005A7205"/>
    <w:rsid w:val="005A7353"/>
    <w:rsid w:val="005B0B41"/>
    <w:rsid w:val="005B0DBD"/>
    <w:rsid w:val="005B19F6"/>
    <w:rsid w:val="005B2DCC"/>
    <w:rsid w:val="005B4710"/>
    <w:rsid w:val="005B4867"/>
    <w:rsid w:val="005B51DA"/>
    <w:rsid w:val="005C0CEE"/>
    <w:rsid w:val="005C0DAF"/>
    <w:rsid w:val="005C12C1"/>
    <w:rsid w:val="005C1E15"/>
    <w:rsid w:val="005C2C1E"/>
    <w:rsid w:val="005C3889"/>
    <w:rsid w:val="005C44B8"/>
    <w:rsid w:val="005C5359"/>
    <w:rsid w:val="005C5E6B"/>
    <w:rsid w:val="005C6852"/>
    <w:rsid w:val="005C7706"/>
    <w:rsid w:val="005C7C83"/>
    <w:rsid w:val="005D0F67"/>
    <w:rsid w:val="005D2DBD"/>
    <w:rsid w:val="005D6C6B"/>
    <w:rsid w:val="005D7EC3"/>
    <w:rsid w:val="005E0FB7"/>
    <w:rsid w:val="005E1176"/>
    <w:rsid w:val="005E3A29"/>
    <w:rsid w:val="005E3FB1"/>
    <w:rsid w:val="005E714F"/>
    <w:rsid w:val="005E7E4B"/>
    <w:rsid w:val="005F01B9"/>
    <w:rsid w:val="005F0D14"/>
    <w:rsid w:val="005F173C"/>
    <w:rsid w:val="005F1B52"/>
    <w:rsid w:val="005F2588"/>
    <w:rsid w:val="005F325E"/>
    <w:rsid w:val="005F34C0"/>
    <w:rsid w:val="005F37B4"/>
    <w:rsid w:val="005F5758"/>
    <w:rsid w:val="005F618B"/>
    <w:rsid w:val="005F6203"/>
    <w:rsid w:val="005F6214"/>
    <w:rsid w:val="005F73F6"/>
    <w:rsid w:val="00600C84"/>
    <w:rsid w:val="00603AB4"/>
    <w:rsid w:val="00604156"/>
    <w:rsid w:val="00604435"/>
    <w:rsid w:val="006048B8"/>
    <w:rsid w:val="006053D8"/>
    <w:rsid w:val="00605C90"/>
    <w:rsid w:val="006063C6"/>
    <w:rsid w:val="00607CCB"/>
    <w:rsid w:val="00607FD8"/>
    <w:rsid w:val="006118A6"/>
    <w:rsid w:val="00611F26"/>
    <w:rsid w:val="00612DBE"/>
    <w:rsid w:val="006136DD"/>
    <w:rsid w:val="00613CBE"/>
    <w:rsid w:val="00614375"/>
    <w:rsid w:val="0061577A"/>
    <w:rsid w:val="00617F35"/>
    <w:rsid w:val="00620869"/>
    <w:rsid w:val="00620C7D"/>
    <w:rsid w:val="00620E59"/>
    <w:rsid w:val="0062238A"/>
    <w:rsid w:val="00622ABA"/>
    <w:rsid w:val="00624420"/>
    <w:rsid w:val="00624EC1"/>
    <w:rsid w:val="006262A7"/>
    <w:rsid w:val="00627204"/>
    <w:rsid w:val="006278FD"/>
    <w:rsid w:val="00631317"/>
    <w:rsid w:val="00634F3E"/>
    <w:rsid w:val="006357E9"/>
    <w:rsid w:val="006364D9"/>
    <w:rsid w:val="00636CB8"/>
    <w:rsid w:val="00637F2F"/>
    <w:rsid w:val="00640FC6"/>
    <w:rsid w:val="00641593"/>
    <w:rsid w:val="006419E3"/>
    <w:rsid w:val="00642125"/>
    <w:rsid w:val="00642931"/>
    <w:rsid w:val="00642BBE"/>
    <w:rsid w:val="00646A92"/>
    <w:rsid w:val="006471E0"/>
    <w:rsid w:val="006475D1"/>
    <w:rsid w:val="006476FE"/>
    <w:rsid w:val="006478CD"/>
    <w:rsid w:val="00652DA4"/>
    <w:rsid w:val="00653A07"/>
    <w:rsid w:val="0065412D"/>
    <w:rsid w:val="00654694"/>
    <w:rsid w:val="006577F7"/>
    <w:rsid w:val="00657A4E"/>
    <w:rsid w:val="00657FEB"/>
    <w:rsid w:val="00662149"/>
    <w:rsid w:val="006642AA"/>
    <w:rsid w:val="00664BD5"/>
    <w:rsid w:val="00664F6F"/>
    <w:rsid w:val="0066631C"/>
    <w:rsid w:val="00666BE3"/>
    <w:rsid w:val="00670908"/>
    <w:rsid w:val="0067156F"/>
    <w:rsid w:val="006728E6"/>
    <w:rsid w:val="00673E8F"/>
    <w:rsid w:val="0067611C"/>
    <w:rsid w:val="00676F12"/>
    <w:rsid w:val="0067712D"/>
    <w:rsid w:val="006772FB"/>
    <w:rsid w:val="00681B8C"/>
    <w:rsid w:val="00682C86"/>
    <w:rsid w:val="006831B7"/>
    <w:rsid w:val="00684238"/>
    <w:rsid w:val="0068460E"/>
    <w:rsid w:val="00687286"/>
    <w:rsid w:val="00690522"/>
    <w:rsid w:val="006906E3"/>
    <w:rsid w:val="00691079"/>
    <w:rsid w:val="006938E2"/>
    <w:rsid w:val="00695484"/>
    <w:rsid w:val="00696BA4"/>
    <w:rsid w:val="006A0000"/>
    <w:rsid w:val="006A01F8"/>
    <w:rsid w:val="006A1243"/>
    <w:rsid w:val="006A1471"/>
    <w:rsid w:val="006A2E23"/>
    <w:rsid w:val="006A48BF"/>
    <w:rsid w:val="006A5213"/>
    <w:rsid w:val="006A541D"/>
    <w:rsid w:val="006A680A"/>
    <w:rsid w:val="006B0440"/>
    <w:rsid w:val="006B06D3"/>
    <w:rsid w:val="006B256D"/>
    <w:rsid w:val="006B367B"/>
    <w:rsid w:val="006B4A43"/>
    <w:rsid w:val="006B5A0F"/>
    <w:rsid w:val="006B7AC2"/>
    <w:rsid w:val="006C0309"/>
    <w:rsid w:val="006C1A56"/>
    <w:rsid w:val="006C2F93"/>
    <w:rsid w:val="006C4BB7"/>
    <w:rsid w:val="006C5299"/>
    <w:rsid w:val="006C63A7"/>
    <w:rsid w:val="006D021D"/>
    <w:rsid w:val="006D2313"/>
    <w:rsid w:val="006D2B8C"/>
    <w:rsid w:val="006D3A1F"/>
    <w:rsid w:val="006D4D06"/>
    <w:rsid w:val="006D5685"/>
    <w:rsid w:val="006D646D"/>
    <w:rsid w:val="006D6CA1"/>
    <w:rsid w:val="006E02D9"/>
    <w:rsid w:val="006E1ABA"/>
    <w:rsid w:val="006E1D7B"/>
    <w:rsid w:val="006E342A"/>
    <w:rsid w:val="006E3655"/>
    <w:rsid w:val="006E41D9"/>
    <w:rsid w:val="006E644A"/>
    <w:rsid w:val="006E6952"/>
    <w:rsid w:val="006E7869"/>
    <w:rsid w:val="006F06EC"/>
    <w:rsid w:val="006F1513"/>
    <w:rsid w:val="006F3686"/>
    <w:rsid w:val="006F3DA9"/>
    <w:rsid w:val="006F4CB4"/>
    <w:rsid w:val="006F5BB7"/>
    <w:rsid w:val="006F64B7"/>
    <w:rsid w:val="006F6BEE"/>
    <w:rsid w:val="006F6CC4"/>
    <w:rsid w:val="006F783A"/>
    <w:rsid w:val="00701728"/>
    <w:rsid w:val="00705DB6"/>
    <w:rsid w:val="00706AF7"/>
    <w:rsid w:val="00707BAC"/>
    <w:rsid w:val="00710445"/>
    <w:rsid w:val="00710DFC"/>
    <w:rsid w:val="00711423"/>
    <w:rsid w:val="0071273D"/>
    <w:rsid w:val="00714FF6"/>
    <w:rsid w:val="00717810"/>
    <w:rsid w:val="00717AB3"/>
    <w:rsid w:val="00720235"/>
    <w:rsid w:val="00721D07"/>
    <w:rsid w:val="007224C8"/>
    <w:rsid w:val="007236D4"/>
    <w:rsid w:val="00723D4B"/>
    <w:rsid w:val="00725A97"/>
    <w:rsid w:val="0072607A"/>
    <w:rsid w:val="0072615C"/>
    <w:rsid w:val="00727CB1"/>
    <w:rsid w:val="007304CB"/>
    <w:rsid w:val="00731B4A"/>
    <w:rsid w:val="00732157"/>
    <w:rsid w:val="00732D64"/>
    <w:rsid w:val="00733371"/>
    <w:rsid w:val="00733872"/>
    <w:rsid w:val="007354B0"/>
    <w:rsid w:val="0073586E"/>
    <w:rsid w:val="00735A4E"/>
    <w:rsid w:val="0073605B"/>
    <w:rsid w:val="00736AFF"/>
    <w:rsid w:val="0073721F"/>
    <w:rsid w:val="007425D7"/>
    <w:rsid w:val="00743316"/>
    <w:rsid w:val="007442F5"/>
    <w:rsid w:val="007454CE"/>
    <w:rsid w:val="007455AD"/>
    <w:rsid w:val="00745D16"/>
    <w:rsid w:val="00747CB0"/>
    <w:rsid w:val="00750135"/>
    <w:rsid w:val="00750854"/>
    <w:rsid w:val="007526E8"/>
    <w:rsid w:val="007539B1"/>
    <w:rsid w:val="00753AC4"/>
    <w:rsid w:val="00754617"/>
    <w:rsid w:val="00755583"/>
    <w:rsid w:val="007646F6"/>
    <w:rsid w:val="00764B25"/>
    <w:rsid w:val="0076503D"/>
    <w:rsid w:val="00765340"/>
    <w:rsid w:val="007655D5"/>
    <w:rsid w:val="007657AA"/>
    <w:rsid w:val="007707D4"/>
    <w:rsid w:val="0077087B"/>
    <w:rsid w:val="00770AEF"/>
    <w:rsid w:val="00770F03"/>
    <w:rsid w:val="00770FB6"/>
    <w:rsid w:val="00771BA2"/>
    <w:rsid w:val="00773FB2"/>
    <w:rsid w:val="00774CDC"/>
    <w:rsid w:val="007756A6"/>
    <w:rsid w:val="007762D0"/>
    <w:rsid w:val="00776F8F"/>
    <w:rsid w:val="00780DD9"/>
    <w:rsid w:val="00780E52"/>
    <w:rsid w:val="007813AF"/>
    <w:rsid w:val="0078299E"/>
    <w:rsid w:val="00782BE5"/>
    <w:rsid w:val="00782FE4"/>
    <w:rsid w:val="00783F2F"/>
    <w:rsid w:val="007854C6"/>
    <w:rsid w:val="00785C8A"/>
    <w:rsid w:val="00790945"/>
    <w:rsid w:val="00792C91"/>
    <w:rsid w:val="00793135"/>
    <w:rsid w:val="00793A2D"/>
    <w:rsid w:val="00794756"/>
    <w:rsid w:val="00795E0C"/>
    <w:rsid w:val="00797CDB"/>
    <w:rsid w:val="007A0285"/>
    <w:rsid w:val="007A0422"/>
    <w:rsid w:val="007A4268"/>
    <w:rsid w:val="007A6FC5"/>
    <w:rsid w:val="007A75EB"/>
    <w:rsid w:val="007A7BBB"/>
    <w:rsid w:val="007B12A7"/>
    <w:rsid w:val="007B1BDC"/>
    <w:rsid w:val="007B611B"/>
    <w:rsid w:val="007B62A2"/>
    <w:rsid w:val="007B6C04"/>
    <w:rsid w:val="007B76AE"/>
    <w:rsid w:val="007B7F14"/>
    <w:rsid w:val="007C41D4"/>
    <w:rsid w:val="007C49D5"/>
    <w:rsid w:val="007C53AE"/>
    <w:rsid w:val="007C6206"/>
    <w:rsid w:val="007C759E"/>
    <w:rsid w:val="007D025C"/>
    <w:rsid w:val="007D0E70"/>
    <w:rsid w:val="007D3173"/>
    <w:rsid w:val="007D5450"/>
    <w:rsid w:val="007E0577"/>
    <w:rsid w:val="007E0ED8"/>
    <w:rsid w:val="007E30A6"/>
    <w:rsid w:val="007E377D"/>
    <w:rsid w:val="007E50DF"/>
    <w:rsid w:val="007E5946"/>
    <w:rsid w:val="007E6812"/>
    <w:rsid w:val="007E7EA1"/>
    <w:rsid w:val="007F02F6"/>
    <w:rsid w:val="007F12EE"/>
    <w:rsid w:val="007F595C"/>
    <w:rsid w:val="007F7E3E"/>
    <w:rsid w:val="007F7F6C"/>
    <w:rsid w:val="00801052"/>
    <w:rsid w:val="00801327"/>
    <w:rsid w:val="008015CA"/>
    <w:rsid w:val="008024CF"/>
    <w:rsid w:val="00803735"/>
    <w:rsid w:val="00811822"/>
    <w:rsid w:val="00811AE3"/>
    <w:rsid w:val="00811BA2"/>
    <w:rsid w:val="0081216F"/>
    <w:rsid w:val="00812D59"/>
    <w:rsid w:val="00813110"/>
    <w:rsid w:val="0081334D"/>
    <w:rsid w:val="008154D9"/>
    <w:rsid w:val="00815ABE"/>
    <w:rsid w:val="00820147"/>
    <w:rsid w:val="008203E6"/>
    <w:rsid w:val="00820B5D"/>
    <w:rsid w:val="00821C04"/>
    <w:rsid w:val="00822392"/>
    <w:rsid w:val="00824151"/>
    <w:rsid w:val="0082527E"/>
    <w:rsid w:val="0082540C"/>
    <w:rsid w:val="0082540E"/>
    <w:rsid w:val="00826665"/>
    <w:rsid w:val="00826D6D"/>
    <w:rsid w:val="0082785F"/>
    <w:rsid w:val="00830817"/>
    <w:rsid w:val="008331EF"/>
    <w:rsid w:val="00833F80"/>
    <w:rsid w:val="00834AF3"/>
    <w:rsid w:val="00836283"/>
    <w:rsid w:val="00836A04"/>
    <w:rsid w:val="00837BA8"/>
    <w:rsid w:val="00840539"/>
    <w:rsid w:val="008405D3"/>
    <w:rsid w:val="0084075F"/>
    <w:rsid w:val="008418D7"/>
    <w:rsid w:val="00841E19"/>
    <w:rsid w:val="00843B20"/>
    <w:rsid w:val="008441DC"/>
    <w:rsid w:val="008444CA"/>
    <w:rsid w:val="008453C6"/>
    <w:rsid w:val="00846519"/>
    <w:rsid w:val="00846BE0"/>
    <w:rsid w:val="00847780"/>
    <w:rsid w:val="00850473"/>
    <w:rsid w:val="008515C2"/>
    <w:rsid w:val="00852C52"/>
    <w:rsid w:val="008551D4"/>
    <w:rsid w:val="00860E1F"/>
    <w:rsid w:val="00861987"/>
    <w:rsid w:val="008629D7"/>
    <w:rsid w:val="00864513"/>
    <w:rsid w:val="00864855"/>
    <w:rsid w:val="008651F6"/>
    <w:rsid w:val="008656A3"/>
    <w:rsid w:val="00865A77"/>
    <w:rsid w:val="00865CC8"/>
    <w:rsid w:val="00866A55"/>
    <w:rsid w:val="0086767F"/>
    <w:rsid w:val="0086786C"/>
    <w:rsid w:val="008700B3"/>
    <w:rsid w:val="00872374"/>
    <w:rsid w:val="008735BC"/>
    <w:rsid w:val="00874232"/>
    <w:rsid w:val="00875AA2"/>
    <w:rsid w:val="00877FEA"/>
    <w:rsid w:val="00880B07"/>
    <w:rsid w:val="0088366C"/>
    <w:rsid w:val="008837D5"/>
    <w:rsid w:val="00887A84"/>
    <w:rsid w:val="00890633"/>
    <w:rsid w:val="00892EED"/>
    <w:rsid w:val="00894F06"/>
    <w:rsid w:val="00895833"/>
    <w:rsid w:val="00895F5A"/>
    <w:rsid w:val="008964A4"/>
    <w:rsid w:val="00897C5F"/>
    <w:rsid w:val="00897C6B"/>
    <w:rsid w:val="008A070A"/>
    <w:rsid w:val="008A0B45"/>
    <w:rsid w:val="008A63FB"/>
    <w:rsid w:val="008A65D1"/>
    <w:rsid w:val="008A7CCB"/>
    <w:rsid w:val="008B1938"/>
    <w:rsid w:val="008B34A9"/>
    <w:rsid w:val="008B393B"/>
    <w:rsid w:val="008B472E"/>
    <w:rsid w:val="008B53FD"/>
    <w:rsid w:val="008B5CE3"/>
    <w:rsid w:val="008B7669"/>
    <w:rsid w:val="008B76B0"/>
    <w:rsid w:val="008C0736"/>
    <w:rsid w:val="008C07FD"/>
    <w:rsid w:val="008C2E25"/>
    <w:rsid w:val="008C324E"/>
    <w:rsid w:val="008C38EA"/>
    <w:rsid w:val="008C4624"/>
    <w:rsid w:val="008C749F"/>
    <w:rsid w:val="008C74BD"/>
    <w:rsid w:val="008D45B7"/>
    <w:rsid w:val="008D46FD"/>
    <w:rsid w:val="008D5DC3"/>
    <w:rsid w:val="008D5F2D"/>
    <w:rsid w:val="008E30EC"/>
    <w:rsid w:val="008E515C"/>
    <w:rsid w:val="008E684F"/>
    <w:rsid w:val="008E6C4F"/>
    <w:rsid w:val="008E6CD9"/>
    <w:rsid w:val="008F0241"/>
    <w:rsid w:val="008F04D6"/>
    <w:rsid w:val="008F0DD0"/>
    <w:rsid w:val="008F1D28"/>
    <w:rsid w:val="008F3DDC"/>
    <w:rsid w:val="008F427B"/>
    <w:rsid w:val="008F4E97"/>
    <w:rsid w:val="008F69DC"/>
    <w:rsid w:val="008F72CB"/>
    <w:rsid w:val="008F7653"/>
    <w:rsid w:val="00900814"/>
    <w:rsid w:val="00902069"/>
    <w:rsid w:val="009029FB"/>
    <w:rsid w:val="00902C6C"/>
    <w:rsid w:val="0090628B"/>
    <w:rsid w:val="00907C6E"/>
    <w:rsid w:val="00910D8F"/>
    <w:rsid w:val="00911099"/>
    <w:rsid w:val="0091128F"/>
    <w:rsid w:val="009112A3"/>
    <w:rsid w:val="00911BBE"/>
    <w:rsid w:val="00911C8D"/>
    <w:rsid w:val="00912977"/>
    <w:rsid w:val="00913CBC"/>
    <w:rsid w:val="00913FBC"/>
    <w:rsid w:val="00914486"/>
    <w:rsid w:val="009149E1"/>
    <w:rsid w:val="009157C1"/>
    <w:rsid w:val="00916F98"/>
    <w:rsid w:val="0092022C"/>
    <w:rsid w:val="00920701"/>
    <w:rsid w:val="00920F4E"/>
    <w:rsid w:val="00921A7D"/>
    <w:rsid w:val="0092300C"/>
    <w:rsid w:val="00924D03"/>
    <w:rsid w:val="00925992"/>
    <w:rsid w:val="00926F6D"/>
    <w:rsid w:val="00932200"/>
    <w:rsid w:val="00932E55"/>
    <w:rsid w:val="00932E79"/>
    <w:rsid w:val="00933847"/>
    <w:rsid w:val="00933A7A"/>
    <w:rsid w:val="00933B98"/>
    <w:rsid w:val="00934F35"/>
    <w:rsid w:val="009356C3"/>
    <w:rsid w:val="0093616E"/>
    <w:rsid w:val="009363AA"/>
    <w:rsid w:val="00940C13"/>
    <w:rsid w:val="00941CD8"/>
    <w:rsid w:val="00941D9E"/>
    <w:rsid w:val="00944014"/>
    <w:rsid w:val="00947100"/>
    <w:rsid w:val="0094797D"/>
    <w:rsid w:val="009513E3"/>
    <w:rsid w:val="0095331A"/>
    <w:rsid w:val="009534AA"/>
    <w:rsid w:val="00953AEF"/>
    <w:rsid w:val="009549DD"/>
    <w:rsid w:val="00955093"/>
    <w:rsid w:val="009578D6"/>
    <w:rsid w:val="00957AFC"/>
    <w:rsid w:val="00960E54"/>
    <w:rsid w:val="00960EA5"/>
    <w:rsid w:val="009612EE"/>
    <w:rsid w:val="0096186B"/>
    <w:rsid w:val="00962F8C"/>
    <w:rsid w:val="00964A01"/>
    <w:rsid w:val="00965225"/>
    <w:rsid w:val="009656E0"/>
    <w:rsid w:val="00965B13"/>
    <w:rsid w:val="00966FD9"/>
    <w:rsid w:val="0096727E"/>
    <w:rsid w:val="009702AA"/>
    <w:rsid w:val="0097189C"/>
    <w:rsid w:val="009724BC"/>
    <w:rsid w:val="00972AE7"/>
    <w:rsid w:val="00972FD3"/>
    <w:rsid w:val="0097344A"/>
    <w:rsid w:val="0097365A"/>
    <w:rsid w:val="00973FB8"/>
    <w:rsid w:val="00975DA4"/>
    <w:rsid w:val="00976499"/>
    <w:rsid w:val="009803D4"/>
    <w:rsid w:val="00980725"/>
    <w:rsid w:val="009809FC"/>
    <w:rsid w:val="00983825"/>
    <w:rsid w:val="0098479E"/>
    <w:rsid w:val="009854B6"/>
    <w:rsid w:val="00986441"/>
    <w:rsid w:val="00986B83"/>
    <w:rsid w:val="00991697"/>
    <w:rsid w:val="0099280C"/>
    <w:rsid w:val="00992C71"/>
    <w:rsid w:val="00993434"/>
    <w:rsid w:val="0099384C"/>
    <w:rsid w:val="00993C21"/>
    <w:rsid w:val="00993D00"/>
    <w:rsid w:val="0099404A"/>
    <w:rsid w:val="00994762"/>
    <w:rsid w:val="00994A88"/>
    <w:rsid w:val="00995576"/>
    <w:rsid w:val="009970D1"/>
    <w:rsid w:val="00997B46"/>
    <w:rsid w:val="00997CF0"/>
    <w:rsid w:val="009A0938"/>
    <w:rsid w:val="009A1A43"/>
    <w:rsid w:val="009A2A67"/>
    <w:rsid w:val="009A387C"/>
    <w:rsid w:val="009A4BB2"/>
    <w:rsid w:val="009A650C"/>
    <w:rsid w:val="009A6C9E"/>
    <w:rsid w:val="009B0A1E"/>
    <w:rsid w:val="009B3B28"/>
    <w:rsid w:val="009B5880"/>
    <w:rsid w:val="009B61F3"/>
    <w:rsid w:val="009B670D"/>
    <w:rsid w:val="009C06F4"/>
    <w:rsid w:val="009C0DDF"/>
    <w:rsid w:val="009C1213"/>
    <w:rsid w:val="009C1ADA"/>
    <w:rsid w:val="009C1D39"/>
    <w:rsid w:val="009C20C6"/>
    <w:rsid w:val="009C350A"/>
    <w:rsid w:val="009C6A3F"/>
    <w:rsid w:val="009C7900"/>
    <w:rsid w:val="009D3A49"/>
    <w:rsid w:val="009D3FB3"/>
    <w:rsid w:val="009D5ED9"/>
    <w:rsid w:val="009D680F"/>
    <w:rsid w:val="009D6A67"/>
    <w:rsid w:val="009D6CBB"/>
    <w:rsid w:val="009D7586"/>
    <w:rsid w:val="009E0BA1"/>
    <w:rsid w:val="009E1812"/>
    <w:rsid w:val="009E3C40"/>
    <w:rsid w:val="009E414E"/>
    <w:rsid w:val="009E4405"/>
    <w:rsid w:val="009E68CD"/>
    <w:rsid w:val="009E6F82"/>
    <w:rsid w:val="009E74FC"/>
    <w:rsid w:val="009E7D4E"/>
    <w:rsid w:val="009F04EF"/>
    <w:rsid w:val="009F0EF9"/>
    <w:rsid w:val="009F52C4"/>
    <w:rsid w:val="009F548F"/>
    <w:rsid w:val="009F6724"/>
    <w:rsid w:val="00A00B82"/>
    <w:rsid w:val="00A00D3F"/>
    <w:rsid w:val="00A02683"/>
    <w:rsid w:val="00A03A7B"/>
    <w:rsid w:val="00A0450E"/>
    <w:rsid w:val="00A0473B"/>
    <w:rsid w:val="00A04A8C"/>
    <w:rsid w:val="00A051AC"/>
    <w:rsid w:val="00A05352"/>
    <w:rsid w:val="00A072D6"/>
    <w:rsid w:val="00A117B4"/>
    <w:rsid w:val="00A12926"/>
    <w:rsid w:val="00A133AC"/>
    <w:rsid w:val="00A146CC"/>
    <w:rsid w:val="00A1626F"/>
    <w:rsid w:val="00A20589"/>
    <w:rsid w:val="00A206FF"/>
    <w:rsid w:val="00A20D90"/>
    <w:rsid w:val="00A2266A"/>
    <w:rsid w:val="00A22D54"/>
    <w:rsid w:val="00A2564F"/>
    <w:rsid w:val="00A264EF"/>
    <w:rsid w:val="00A26B73"/>
    <w:rsid w:val="00A27501"/>
    <w:rsid w:val="00A3068D"/>
    <w:rsid w:val="00A310D4"/>
    <w:rsid w:val="00A31135"/>
    <w:rsid w:val="00A312CB"/>
    <w:rsid w:val="00A332FB"/>
    <w:rsid w:val="00A33795"/>
    <w:rsid w:val="00A33CF1"/>
    <w:rsid w:val="00A349D1"/>
    <w:rsid w:val="00A36460"/>
    <w:rsid w:val="00A36B9D"/>
    <w:rsid w:val="00A36FC7"/>
    <w:rsid w:val="00A37657"/>
    <w:rsid w:val="00A40F97"/>
    <w:rsid w:val="00A415D0"/>
    <w:rsid w:val="00A422F7"/>
    <w:rsid w:val="00A42A0E"/>
    <w:rsid w:val="00A44608"/>
    <w:rsid w:val="00A44981"/>
    <w:rsid w:val="00A449A6"/>
    <w:rsid w:val="00A449D2"/>
    <w:rsid w:val="00A46F34"/>
    <w:rsid w:val="00A47417"/>
    <w:rsid w:val="00A478F0"/>
    <w:rsid w:val="00A51C4C"/>
    <w:rsid w:val="00A523D6"/>
    <w:rsid w:val="00A54DFE"/>
    <w:rsid w:val="00A56DA9"/>
    <w:rsid w:val="00A61D9B"/>
    <w:rsid w:val="00A62DE6"/>
    <w:rsid w:val="00A63E45"/>
    <w:rsid w:val="00A64640"/>
    <w:rsid w:val="00A65C76"/>
    <w:rsid w:val="00A715D6"/>
    <w:rsid w:val="00A72394"/>
    <w:rsid w:val="00A73708"/>
    <w:rsid w:val="00A73F8A"/>
    <w:rsid w:val="00A74E5D"/>
    <w:rsid w:val="00A7576A"/>
    <w:rsid w:val="00A7649E"/>
    <w:rsid w:val="00A817EC"/>
    <w:rsid w:val="00A82796"/>
    <w:rsid w:val="00A836F9"/>
    <w:rsid w:val="00A849F6"/>
    <w:rsid w:val="00A85F63"/>
    <w:rsid w:val="00A86792"/>
    <w:rsid w:val="00A87426"/>
    <w:rsid w:val="00A9231D"/>
    <w:rsid w:val="00A93544"/>
    <w:rsid w:val="00A9363B"/>
    <w:rsid w:val="00A936B5"/>
    <w:rsid w:val="00A93F22"/>
    <w:rsid w:val="00A94CF2"/>
    <w:rsid w:val="00A95541"/>
    <w:rsid w:val="00A962BB"/>
    <w:rsid w:val="00A9691B"/>
    <w:rsid w:val="00A97D45"/>
    <w:rsid w:val="00AA0FEE"/>
    <w:rsid w:val="00AA493A"/>
    <w:rsid w:val="00AA5685"/>
    <w:rsid w:val="00AA6DAA"/>
    <w:rsid w:val="00AA75B8"/>
    <w:rsid w:val="00AA76D7"/>
    <w:rsid w:val="00AA76FE"/>
    <w:rsid w:val="00AA7C4B"/>
    <w:rsid w:val="00AB0650"/>
    <w:rsid w:val="00AB0807"/>
    <w:rsid w:val="00AB0BE7"/>
    <w:rsid w:val="00AB1E3E"/>
    <w:rsid w:val="00AB2DF2"/>
    <w:rsid w:val="00AB4500"/>
    <w:rsid w:val="00AB5C63"/>
    <w:rsid w:val="00AB7BF7"/>
    <w:rsid w:val="00AB7CFD"/>
    <w:rsid w:val="00AC03C1"/>
    <w:rsid w:val="00AC1C7C"/>
    <w:rsid w:val="00AC4E0F"/>
    <w:rsid w:val="00AC6922"/>
    <w:rsid w:val="00AC6D63"/>
    <w:rsid w:val="00AC7644"/>
    <w:rsid w:val="00AD2063"/>
    <w:rsid w:val="00AD2865"/>
    <w:rsid w:val="00AD2CA0"/>
    <w:rsid w:val="00AD4B28"/>
    <w:rsid w:val="00AD5061"/>
    <w:rsid w:val="00AD594E"/>
    <w:rsid w:val="00AE1F84"/>
    <w:rsid w:val="00AE2E78"/>
    <w:rsid w:val="00AE3148"/>
    <w:rsid w:val="00AE4004"/>
    <w:rsid w:val="00AE5A2B"/>
    <w:rsid w:val="00AE5C5A"/>
    <w:rsid w:val="00AE6CEC"/>
    <w:rsid w:val="00AE7298"/>
    <w:rsid w:val="00AE74FD"/>
    <w:rsid w:val="00AE7601"/>
    <w:rsid w:val="00AE7BD1"/>
    <w:rsid w:val="00AF1615"/>
    <w:rsid w:val="00AF232E"/>
    <w:rsid w:val="00AF373A"/>
    <w:rsid w:val="00AF5082"/>
    <w:rsid w:val="00AF5F05"/>
    <w:rsid w:val="00AF6A09"/>
    <w:rsid w:val="00AF6CD3"/>
    <w:rsid w:val="00AF6DBB"/>
    <w:rsid w:val="00B0062D"/>
    <w:rsid w:val="00B00FC0"/>
    <w:rsid w:val="00B00FFB"/>
    <w:rsid w:val="00B0131D"/>
    <w:rsid w:val="00B01A34"/>
    <w:rsid w:val="00B04467"/>
    <w:rsid w:val="00B0484D"/>
    <w:rsid w:val="00B05385"/>
    <w:rsid w:val="00B05550"/>
    <w:rsid w:val="00B10B47"/>
    <w:rsid w:val="00B11553"/>
    <w:rsid w:val="00B1161F"/>
    <w:rsid w:val="00B130E3"/>
    <w:rsid w:val="00B1400C"/>
    <w:rsid w:val="00B1471B"/>
    <w:rsid w:val="00B154E7"/>
    <w:rsid w:val="00B16206"/>
    <w:rsid w:val="00B206DC"/>
    <w:rsid w:val="00B20EB4"/>
    <w:rsid w:val="00B21855"/>
    <w:rsid w:val="00B22439"/>
    <w:rsid w:val="00B25CC5"/>
    <w:rsid w:val="00B25E08"/>
    <w:rsid w:val="00B26FE2"/>
    <w:rsid w:val="00B2717C"/>
    <w:rsid w:val="00B27981"/>
    <w:rsid w:val="00B30814"/>
    <w:rsid w:val="00B309D5"/>
    <w:rsid w:val="00B35E04"/>
    <w:rsid w:val="00B35F87"/>
    <w:rsid w:val="00B4012B"/>
    <w:rsid w:val="00B43250"/>
    <w:rsid w:val="00B4369D"/>
    <w:rsid w:val="00B44607"/>
    <w:rsid w:val="00B44B14"/>
    <w:rsid w:val="00B45B73"/>
    <w:rsid w:val="00B45DFA"/>
    <w:rsid w:val="00B45E67"/>
    <w:rsid w:val="00B466DA"/>
    <w:rsid w:val="00B46E87"/>
    <w:rsid w:val="00B47903"/>
    <w:rsid w:val="00B50DE3"/>
    <w:rsid w:val="00B51667"/>
    <w:rsid w:val="00B51DFA"/>
    <w:rsid w:val="00B51F9B"/>
    <w:rsid w:val="00B56AC4"/>
    <w:rsid w:val="00B56CFB"/>
    <w:rsid w:val="00B60280"/>
    <w:rsid w:val="00B60FD1"/>
    <w:rsid w:val="00B61ADC"/>
    <w:rsid w:val="00B62F56"/>
    <w:rsid w:val="00B65EC1"/>
    <w:rsid w:val="00B66046"/>
    <w:rsid w:val="00B67815"/>
    <w:rsid w:val="00B67AF3"/>
    <w:rsid w:val="00B7062A"/>
    <w:rsid w:val="00B707E4"/>
    <w:rsid w:val="00B70CC7"/>
    <w:rsid w:val="00B70F07"/>
    <w:rsid w:val="00B710F3"/>
    <w:rsid w:val="00B71F14"/>
    <w:rsid w:val="00B72016"/>
    <w:rsid w:val="00B72753"/>
    <w:rsid w:val="00B742CE"/>
    <w:rsid w:val="00B77E74"/>
    <w:rsid w:val="00B840CC"/>
    <w:rsid w:val="00B86004"/>
    <w:rsid w:val="00B902F2"/>
    <w:rsid w:val="00B91245"/>
    <w:rsid w:val="00B92DF5"/>
    <w:rsid w:val="00B9506A"/>
    <w:rsid w:val="00B95C2C"/>
    <w:rsid w:val="00B9693A"/>
    <w:rsid w:val="00B969D3"/>
    <w:rsid w:val="00BA04F9"/>
    <w:rsid w:val="00BA1137"/>
    <w:rsid w:val="00BA1BFA"/>
    <w:rsid w:val="00BA3C44"/>
    <w:rsid w:val="00BA4EB5"/>
    <w:rsid w:val="00BA4F8D"/>
    <w:rsid w:val="00BA6636"/>
    <w:rsid w:val="00BA6C04"/>
    <w:rsid w:val="00BB030B"/>
    <w:rsid w:val="00BB0A59"/>
    <w:rsid w:val="00BB17FC"/>
    <w:rsid w:val="00BB1A85"/>
    <w:rsid w:val="00BB2669"/>
    <w:rsid w:val="00BB2ACE"/>
    <w:rsid w:val="00BB371E"/>
    <w:rsid w:val="00BB4121"/>
    <w:rsid w:val="00BB56BB"/>
    <w:rsid w:val="00BB64DE"/>
    <w:rsid w:val="00BB68CF"/>
    <w:rsid w:val="00BB6BB1"/>
    <w:rsid w:val="00BC0DCC"/>
    <w:rsid w:val="00BC2F57"/>
    <w:rsid w:val="00BC332B"/>
    <w:rsid w:val="00BC4502"/>
    <w:rsid w:val="00BC4CAB"/>
    <w:rsid w:val="00BC4F1E"/>
    <w:rsid w:val="00BC5B96"/>
    <w:rsid w:val="00BC6768"/>
    <w:rsid w:val="00BC6E98"/>
    <w:rsid w:val="00BC7B2A"/>
    <w:rsid w:val="00BD1C1F"/>
    <w:rsid w:val="00BD2D56"/>
    <w:rsid w:val="00BD4282"/>
    <w:rsid w:val="00BD47E7"/>
    <w:rsid w:val="00BD6A12"/>
    <w:rsid w:val="00BD779F"/>
    <w:rsid w:val="00BE0403"/>
    <w:rsid w:val="00BE1636"/>
    <w:rsid w:val="00BE197F"/>
    <w:rsid w:val="00BE1D3C"/>
    <w:rsid w:val="00BE1D41"/>
    <w:rsid w:val="00BE20C9"/>
    <w:rsid w:val="00BE2238"/>
    <w:rsid w:val="00BE305D"/>
    <w:rsid w:val="00BE30BC"/>
    <w:rsid w:val="00BE4017"/>
    <w:rsid w:val="00BE4A26"/>
    <w:rsid w:val="00BE6B06"/>
    <w:rsid w:val="00BF04D9"/>
    <w:rsid w:val="00BF22AB"/>
    <w:rsid w:val="00BF4370"/>
    <w:rsid w:val="00BF496B"/>
    <w:rsid w:val="00BF57F6"/>
    <w:rsid w:val="00BF5AF8"/>
    <w:rsid w:val="00BF62EF"/>
    <w:rsid w:val="00BF6D84"/>
    <w:rsid w:val="00BF7211"/>
    <w:rsid w:val="00C00CF4"/>
    <w:rsid w:val="00C011A6"/>
    <w:rsid w:val="00C0217E"/>
    <w:rsid w:val="00C0286F"/>
    <w:rsid w:val="00C03963"/>
    <w:rsid w:val="00C03AD1"/>
    <w:rsid w:val="00C04342"/>
    <w:rsid w:val="00C06231"/>
    <w:rsid w:val="00C06511"/>
    <w:rsid w:val="00C07709"/>
    <w:rsid w:val="00C07B70"/>
    <w:rsid w:val="00C07B9B"/>
    <w:rsid w:val="00C1123C"/>
    <w:rsid w:val="00C12A29"/>
    <w:rsid w:val="00C1322F"/>
    <w:rsid w:val="00C13435"/>
    <w:rsid w:val="00C13B70"/>
    <w:rsid w:val="00C13DA6"/>
    <w:rsid w:val="00C14250"/>
    <w:rsid w:val="00C142B3"/>
    <w:rsid w:val="00C14802"/>
    <w:rsid w:val="00C14C56"/>
    <w:rsid w:val="00C1523A"/>
    <w:rsid w:val="00C162AF"/>
    <w:rsid w:val="00C17B1D"/>
    <w:rsid w:val="00C20C7A"/>
    <w:rsid w:val="00C20E0D"/>
    <w:rsid w:val="00C212B1"/>
    <w:rsid w:val="00C219EA"/>
    <w:rsid w:val="00C21A68"/>
    <w:rsid w:val="00C23E69"/>
    <w:rsid w:val="00C23FAB"/>
    <w:rsid w:val="00C2562E"/>
    <w:rsid w:val="00C25CBC"/>
    <w:rsid w:val="00C25E35"/>
    <w:rsid w:val="00C25F45"/>
    <w:rsid w:val="00C26039"/>
    <w:rsid w:val="00C26129"/>
    <w:rsid w:val="00C272A6"/>
    <w:rsid w:val="00C30E66"/>
    <w:rsid w:val="00C33024"/>
    <w:rsid w:val="00C346C8"/>
    <w:rsid w:val="00C34A71"/>
    <w:rsid w:val="00C353F2"/>
    <w:rsid w:val="00C373A3"/>
    <w:rsid w:val="00C37479"/>
    <w:rsid w:val="00C422DA"/>
    <w:rsid w:val="00C43595"/>
    <w:rsid w:val="00C45886"/>
    <w:rsid w:val="00C466A8"/>
    <w:rsid w:val="00C4698C"/>
    <w:rsid w:val="00C51280"/>
    <w:rsid w:val="00C52CBD"/>
    <w:rsid w:val="00C549F0"/>
    <w:rsid w:val="00C56229"/>
    <w:rsid w:val="00C6156A"/>
    <w:rsid w:val="00C6174A"/>
    <w:rsid w:val="00C6264C"/>
    <w:rsid w:val="00C62929"/>
    <w:rsid w:val="00C6492A"/>
    <w:rsid w:val="00C650AB"/>
    <w:rsid w:val="00C66A2C"/>
    <w:rsid w:val="00C70721"/>
    <w:rsid w:val="00C70C33"/>
    <w:rsid w:val="00C7163A"/>
    <w:rsid w:val="00C72AE8"/>
    <w:rsid w:val="00C73642"/>
    <w:rsid w:val="00C73F76"/>
    <w:rsid w:val="00C76420"/>
    <w:rsid w:val="00C76548"/>
    <w:rsid w:val="00C77607"/>
    <w:rsid w:val="00C80D80"/>
    <w:rsid w:val="00C815EE"/>
    <w:rsid w:val="00C85191"/>
    <w:rsid w:val="00C85B8B"/>
    <w:rsid w:val="00C868F4"/>
    <w:rsid w:val="00C8694A"/>
    <w:rsid w:val="00C94FA8"/>
    <w:rsid w:val="00C95F63"/>
    <w:rsid w:val="00C96239"/>
    <w:rsid w:val="00C96989"/>
    <w:rsid w:val="00C97D35"/>
    <w:rsid w:val="00CA079C"/>
    <w:rsid w:val="00CA119F"/>
    <w:rsid w:val="00CA1813"/>
    <w:rsid w:val="00CA38B4"/>
    <w:rsid w:val="00CA3A52"/>
    <w:rsid w:val="00CA3E3A"/>
    <w:rsid w:val="00CA63CA"/>
    <w:rsid w:val="00CA7092"/>
    <w:rsid w:val="00CA7812"/>
    <w:rsid w:val="00CB0D17"/>
    <w:rsid w:val="00CB1020"/>
    <w:rsid w:val="00CB185A"/>
    <w:rsid w:val="00CB2231"/>
    <w:rsid w:val="00CB2F39"/>
    <w:rsid w:val="00CB3BA2"/>
    <w:rsid w:val="00CB777D"/>
    <w:rsid w:val="00CC044D"/>
    <w:rsid w:val="00CC084E"/>
    <w:rsid w:val="00CC17FE"/>
    <w:rsid w:val="00CC301B"/>
    <w:rsid w:val="00CC3398"/>
    <w:rsid w:val="00CC3A50"/>
    <w:rsid w:val="00CC4855"/>
    <w:rsid w:val="00CC56A2"/>
    <w:rsid w:val="00CC6777"/>
    <w:rsid w:val="00CC684F"/>
    <w:rsid w:val="00CC75FE"/>
    <w:rsid w:val="00CD034B"/>
    <w:rsid w:val="00CD03EB"/>
    <w:rsid w:val="00CD2A62"/>
    <w:rsid w:val="00CD3069"/>
    <w:rsid w:val="00CD4711"/>
    <w:rsid w:val="00CD4B6F"/>
    <w:rsid w:val="00CD4BD3"/>
    <w:rsid w:val="00CD5A2E"/>
    <w:rsid w:val="00CD5D3D"/>
    <w:rsid w:val="00CD6B79"/>
    <w:rsid w:val="00CD7327"/>
    <w:rsid w:val="00CD7612"/>
    <w:rsid w:val="00CD7A41"/>
    <w:rsid w:val="00CE27C9"/>
    <w:rsid w:val="00CE3000"/>
    <w:rsid w:val="00CE343E"/>
    <w:rsid w:val="00CE40EC"/>
    <w:rsid w:val="00CE66AB"/>
    <w:rsid w:val="00CE7556"/>
    <w:rsid w:val="00CE7811"/>
    <w:rsid w:val="00CE7BCF"/>
    <w:rsid w:val="00CF26D3"/>
    <w:rsid w:val="00CF3FBE"/>
    <w:rsid w:val="00CF4285"/>
    <w:rsid w:val="00CF4416"/>
    <w:rsid w:val="00CF4662"/>
    <w:rsid w:val="00CF49B3"/>
    <w:rsid w:val="00CF61B1"/>
    <w:rsid w:val="00D01061"/>
    <w:rsid w:val="00D0121B"/>
    <w:rsid w:val="00D017D4"/>
    <w:rsid w:val="00D01B58"/>
    <w:rsid w:val="00D01B8A"/>
    <w:rsid w:val="00D03553"/>
    <w:rsid w:val="00D048E1"/>
    <w:rsid w:val="00D04A6C"/>
    <w:rsid w:val="00D05331"/>
    <w:rsid w:val="00D05E78"/>
    <w:rsid w:val="00D06B7E"/>
    <w:rsid w:val="00D076A3"/>
    <w:rsid w:val="00D10235"/>
    <w:rsid w:val="00D10D59"/>
    <w:rsid w:val="00D12924"/>
    <w:rsid w:val="00D14135"/>
    <w:rsid w:val="00D148C7"/>
    <w:rsid w:val="00D14DD1"/>
    <w:rsid w:val="00D14F7A"/>
    <w:rsid w:val="00D160B6"/>
    <w:rsid w:val="00D212B1"/>
    <w:rsid w:val="00D21F2E"/>
    <w:rsid w:val="00D24864"/>
    <w:rsid w:val="00D24DC8"/>
    <w:rsid w:val="00D260D1"/>
    <w:rsid w:val="00D271E4"/>
    <w:rsid w:val="00D30B99"/>
    <w:rsid w:val="00D31F3A"/>
    <w:rsid w:val="00D33839"/>
    <w:rsid w:val="00D344B0"/>
    <w:rsid w:val="00D34AAF"/>
    <w:rsid w:val="00D34D85"/>
    <w:rsid w:val="00D379D1"/>
    <w:rsid w:val="00D43569"/>
    <w:rsid w:val="00D439BC"/>
    <w:rsid w:val="00D4504D"/>
    <w:rsid w:val="00D45178"/>
    <w:rsid w:val="00D457DF"/>
    <w:rsid w:val="00D46E71"/>
    <w:rsid w:val="00D47BBE"/>
    <w:rsid w:val="00D524EA"/>
    <w:rsid w:val="00D54036"/>
    <w:rsid w:val="00D549A6"/>
    <w:rsid w:val="00D5640D"/>
    <w:rsid w:val="00D57195"/>
    <w:rsid w:val="00D57720"/>
    <w:rsid w:val="00D578EA"/>
    <w:rsid w:val="00D60A66"/>
    <w:rsid w:val="00D60F8C"/>
    <w:rsid w:val="00D61170"/>
    <w:rsid w:val="00D6161B"/>
    <w:rsid w:val="00D6192D"/>
    <w:rsid w:val="00D61BEC"/>
    <w:rsid w:val="00D62B44"/>
    <w:rsid w:val="00D6383A"/>
    <w:rsid w:val="00D6445A"/>
    <w:rsid w:val="00D65062"/>
    <w:rsid w:val="00D65832"/>
    <w:rsid w:val="00D70524"/>
    <w:rsid w:val="00D70581"/>
    <w:rsid w:val="00D735CB"/>
    <w:rsid w:val="00D80898"/>
    <w:rsid w:val="00D8154D"/>
    <w:rsid w:val="00D81AA1"/>
    <w:rsid w:val="00D846D1"/>
    <w:rsid w:val="00D86C8B"/>
    <w:rsid w:val="00D872BE"/>
    <w:rsid w:val="00D87889"/>
    <w:rsid w:val="00D90F89"/>
    <w:rsid w:val="00D94945"/>
    <w:rsid w:val="00D96286"/>
    <w:rsid w:val="00D969F0"/>
    <w:rsid w:val="00D96F39"/>
    <w:rsid w:val="00DA0245"/>
    <w:rsid w:val="00DA119E"/>
    <w:rsid w:val="00DA249C"/>
    <w:rsid w:val="00DA2884"/>
    <w:rsid w:val="00DA2EFC"/>
    <w:rsid w:val="00DA36AB"/>
    <w:rsid w:val="00DA378F"/>
    <w:rsid w:val="00DA3982"/>
    <w:rsid w:val="00DA3B30"/>
    <w:rsid w:val="00DA3B47"/>
    <w:rsid w:val="00DA73FD"/>
    <w:rsid w:val="00DB3436"/>
    <w:rsid w:val="00DB3C79"/>
    <w:rsid w:val="00DB3EE9"/>
    <w:rsid w:val="00DB4593"/>
    <w:rsid w:val="00DB4DB7"/>
    <w:rsid w:val="00DB540E"/>
    <w:rsid w:val="00DB60F5"/>
    <w:rsid w:val="00DB6A7B"/>
    <w:rsid w:val="00DB7519"/>
    <w:rsid w:val="00DB7986"/>
    <w:rsid w:val="00DC01B7"/>
    <w:rsid w:val="00DC0405"/>
    <w:rsid w:val="00DC0BD8"/>
    <w:rsid w:val="00DC28A2"/>
    <w:rsid w:val="00DC4052"/>
    <w:rsid w:val="00DC4148"/>
    <w:rsid w:val="00DD0817"/>
    <w:rsid w:val="00DD0CCE"/>
    <w:rsid w:val="00DD138B"/>
    <w:rsid w:val="00DD19CA"/>
    <w:rsid w:val="00DD3C11"/>
    <w:rsid w:val="00DD5453"/>
    <w:rsid w:val="00DD5B73"/>
    <w:rsid w:val="00DD5D43"/>
    <w:rsid w:val="00DD5E63"/>
    <w:rsid w:val="00DD6732"/>
    <w:rsid w:val="00DD7193"/>
    <w:rsid w:val="00DE04C1"/>
    <w:rsid w:val="00DE2677"/>
    <w:rsid w:val="00DE2AFD"/>
    <w:rsid w:val="00DE6446"/>
    <w:rsid w:val="00DE7E3E"/>
    <w:rsid w:val="00DE7E7F"/>
    <w:rsid w:val="00DE7F04"/>
    <w:rsid w:val="00DF0C54"/>
    <w:rsid w:val="00DF3288"/>
    <w:rsid w:val="00DF4477"/>
    <w:rsid w:val="00DF477D"/>
    <w:rsid w:val="00DF4972"/>
    <w:rsid w:val="00DF5668"/>
    <w:rsid w:val="00DF7436"/>
    <w:rsid w:val="00E0057B"/>
    <w:rsid w:val="00E027C6"/>
    <w:rsid w:val="00E04A66"/>
    <w:rsid w:val="00E056B7"/>
    <w:rsid w:val="00E107A4"/>
    <w:rsid w:val="00E113C0"/>
    <w:rsid w:val="00E11DFE"/>
    <w:rsid w:val="00E15EC1"/>
    <w:rsid w:val="00E209E5"/>
    <w:rsid w:val="00E235E0"/>
    <w:rsid w:val="00E23BBE"/>
    <w:rsid w:val="00E241BB"/>
    <w:rsid w:val="00E2429B"/>
    <w:rsid w:val="00E256C6"/>
    <w:rsid w:val="00E2614E"/>
    <w:rsid w:val="00E263E2"/>
    <w:rsid w:val="00E26583"/>
    <w:rsid w:val="00E315F6"/>
    <w:rsid w:val="00E32306"/>
    <w:rsid w:val="00E32E71"/>
    <w:rsid w:val="00E350CE"/>
    <w:rsid w:val="00E402BB"/>
    <w:rsid w:val="00E4282D"/>
    <w:rsid w:val="00E4386E"/>
    <w:rsid w:val="00E4486D"/>
    <w:rsid w:val="00E45595"/>
    <w:rsid w:val="00E4694A"/>
    <w:rsid w:val="00E50140"/>
    <w:rsid w:val="00E5093D"/>
    <w:rsid w:val="00E50C03"/>
    <w:rsid w:val="00E50D0E"/>
    <w:rsid w:val="00E510D6"/>
    <w:rsid w:val="00E53523"/>
    <w:rsid w:val="00E55588"/>
    <w:rsid w:val="00E56839"/>
    <w:rsid w:val="00E568E1"/>
    <w:rsid w:val="00E604E3"/>
    <w:rsid w:val="00E61A64"/>
    <w:rsid w:val="00E632AB"/>
    <w:rsid w:val="00E6333F"/>
    <w:rsid w:val="00E63502"/>
    <w:rsid w:val="00E6684F"/>
    <w:rsid w:val="00E71927"/>
    <w:rsid w:val="00E75603"/>
    <w:rsid w:val="00E76411"/>
    <w:rsid w:val="00E76ABC"/>
    <w:rsid w:val="00E771CE"/>
    <w:rsid w:val="00E7767A"/>
    <w:rsid w:val="00E80174"/>
    <w:rsid w:val="00E8047F"/>
    <w:rsid w:val="00E82457"/>
    <w:rsid w:val="00E82CB0"/>
    <w:rsid w:val="00E8377C"/>
    <w:rsid w:val="00E838D1"/>
    <w:rsid w:val="00E83FB7"/>
    <w:rsid w:val="00E859F5"/>
    <w:rsid w:val="00E85CBC"/>
    <w:rsid w:val="00E8717C"/>
    <w:rsid w:val="00E873B2"/>
    <w:rsid w:val="00E87F0E"/>
    <w:rsid w:val="00E903CD"/>
    <w:rsid w:val="00E91428"/>
    <w:rsid w:val="00E9147D"/>
    <w:rsid w:val="00E92A3C"/>
    <w:rsid w:val="00E93BC4"/>
    <w:rsid w:val="00E9481A"/>
    <w:rsid w:val="00E94834"/>
    <w:rsid w:val="00E9489E"/>
    <w:rsid w:val="00E95438"/>
    <w:rsid w:val="00E95A92"/>
    <w:rsid w:val="00EA0E13"/>
    <w:rsid w:val="00EA24A6"/>
    <w:rsid w:val="00EA2CF4"/>
    <w:rsid w:val="00EA37F0"/>
    <w:rsid w:val="00EA3DF8"/>
    <w:rsid w:val="00EA4AF1"/>
    <w:rsid w:val="00EA60E8"/>
    <w:rsid w:val="00EA7372"/>
    <w:rsid w:val="00EA7909"/>
    <w:rsid w:val="00EB04B8"/>
    <w:rsid w:val="00EB0BEF"/>
    <w:rsid w:val="00EB1F11"/>
    <w:rsid w:val="00EB2F38"/>
    <w:rsid w:val="00EB34FF"/>
    <w:rsid w:val="00EB504A"/>
    <w:rsid w:val="00EB5069"/>
    <w:rsid w:val="00EB5238"/>
    <w:rsid w:val="00EB65E9"/>
    <w:rsid w:val="00EB6DE2"/>
    <w:rsid w:val="00EB78D0"/>
    <w:rsid w:val="00EB7900"/>
    <w:rsid w:val="00EC00AB"/>
    <w:rsid w:val="00EC07E1"/>
    <w:rsid w:val="00EC16A5"/>
    <w:rsid w:val="00EC283D"/>
    <w:rsid w:val="00EC2DA6"/>
    <w:rsid w:val="00EC4B9F"/>
    <w:rsid w:val="00EC4E83"/>
    <w:rsid w:val="00EC6238"/>
    <w:rsid w:val="00ED0659"/>
    <w:rsid w:val="00ED0672"/>
    <w:rsid w:val="00ED0C42"/>
    <w:rsid w:val="00ED0FCD"/>
    <w:rsid w:val="00ED2320"/>
    <w:rsid w:val="00ED2BC8"/>
    <w:rsid w:val="00ED2D08"/>
    <w:rsid w:val="00ED3217"/>
    <w:rsid w:val="00ED55F3"/>
    <w:rsid w:val="00ED6406"/>
    <w:rsid w:val="00ED6FAA"/>
    <w:rsid w:val="00EE04DE"/>
    <w:rsid w:val="00EE60F4"/>
    <w:rsid w:val="00EE6E2F"/>
    <w:rsid w:val="00EE730B"/>
    <w:rsid w:val="00EF360A"/>
    <w:rsid w:val="00EF3BDE"/>
    <w:rsid w:val="00EF4522"/>
    <w:rsid w:val="00F0075C"/>
    <w:rsid w:val="00F01B34"/>
    <w:rsid w:val="00F0372D"/>
    <w:rsid w:val="00F042D6"/>
    <w:rsid w:val="00F05B3C"/>
    <w:rsid w:val="00F05E5B"/>
    <w:rsid w:val="00F11275"/>
    <w:rsid w:val="00F1140E"/>
    <w:rsid w:val="00F116FD"/>
    <w:rsid w:val="00F11AAA"/>
    <w:rsid w:val="00F11C79"/>
    <w:rsid w:val="00F127F3"/>
    <w:rsid w:val="00F12C7E"/>
    <w:rsid w:val="00F133DB"/>
    <w:rsid w:val="00F14C53"/>
    <w:rsid w:val="00F17BA7"/>
    <w:rsid w:val="00F17E17"/>
    <w:rsid w:val="00F203C4"/>
    <w:rsid w:val="00F20CAE"/>
    <w:rsid w:val="00F2144C"/>
    <w:rsid w:val="00F22A59"/>
    <w:rsid w:val="00F238D3"/>
    <w:rsid w:val="00F24C69"/>
    <w:rsid w:val="00F25632"/>
    <w:rsid w:val="00F26E96"/>
    <w:rsid w:val="00F26EE0"/>
    <w:rsid w:val="00F31F51"/>
    <w:rsid w:val="00F3494F"/>
    <w:rsid w:val="00F35204"/>
    <w:rsid w:val="00F36205"/>
    <w:rsid w:val="00F37791"/>
    <w:rsid w:val="00F37FB0"/>
    <w:rsid w:val="00F40621"/>
    <w:rsid w:val="00F41626"/>
    <w:rsid w:val="00F42333"/>
    <w:rsid w:val="00F42A7C"/>
    <w:rsid w:val="00F42E33"/>
    <w:rsid w:val="00F4443C"/>
    <w:rsid w:val="00F45727"/>
    <w:rsid w:val="00F507E4"/>
    <w:rsid w:val="00F508FD"/>
    <w:rsid w:val="00F51FFA"/>
    <w:rsid w:val="00F5413F"/>
    <w:rsid w:val="00F54A13"/>
    <w:rsid w:val="00F60300"/>
    <w:rsid w:val="00F60E24"/>
    <w:rsid w:val="00F61A64"/>
    <w:rsid w:val="00F6200D"/>
    <w:rsid w:val="00F640B1"/>
    <w:rsid w:val="00F658E8"/>
    <w:rsid w:val="00F669F7"/>
    <w:rsid w:val="00F70D4D"/>
    <w:rsid w:val="00F71801"/>
    <w:rsid w:val="00F7264E"/>
    <w:rsid w:val="00F73DE9"/>
    <w:rsid w:val="00F74453"/>
    <w:rsid w:val="00F74B19"/>
    <w:rsid w:val="00F75F00"/>
    <w:rsid w:val="00F77A60"/>
    <w:rsid w:val="00F80112"/>
    <w:rsid w:val="00F80830"/>
    <w:rsid w:val="00F8232C"/>
    <w:rsid w:val="00F835CF"/>
    <w:rsid w:val="00F83BA7"/>
    <w:rsid w:val="00F8463B"/>
    <w:rsid w:val="00F857C1"/>
    <w:rsid w:val="00F857F1"/>
    <w:rsid w:val="00F86083"/>
    <w:rsid w:val="00F86590"/>
    <w:rsid w:val="00F87ADB"/>
    <w:rsid w:val="00F87BAE"/>
    <w:rsid w:val="00F87C27"/>
    <w:rsid w:val="00F87EBB"/>
    <w:rsid w:val="00F908E2"/>
    <w:rsid w:val="00F9117F"/>
    <w:rsid w:val="00F91F24"/>
    <w:rsid w:val="00F93C44"/>
    <w:rsid w:val="00F9465B"/>
    <w:rsid w:val="00F95DA2"/>
    <w:rsid w:val="00F95DE2"/>
    <w:rsid w:val="00F9633D"/>
    <w:rsid w:val="00F96E00"/>
    <w:rsid w:val="00F978FE"/>
    <w:rsid w:val="00FA02DB"/>
    <w:rsid w:val="00FA2EBB"/>
    <w:rsid w:val="00FA4110"/>
    <w:rsid w:val="00FA43A9"/>
    <w:rsid w:val="00FA4D45"/>
    <w:rsid w:val="00FA5B19"/>
    <w:rsid w:val="00FA5C18"/>
    <w:rsid w:val="00FB1216"/>
    <w:rsid w:val="00FB13B3"/>
    <w:rsid w:val="00FB175C"/>
    <w:rsid w:val="00FB18CD"/>
    <w:rsid w:val="00FB25C5"/>
    <w:rsid w:val="00FB3103"/>
    <w:rsid w:val="00FB47D7"/>
    <w:rsid w:val="00FB55CB"/>
    <w:rsid w:val="00FB570A"/>
    <w:rsid w:val="00FC0531"/>
    <w:rsid w:val="00FC095A"/>
    <w:rsid w:val="00FC143C"/>
    <w:rsid w:val="00FC321D"/>
    <w:rsid w:val="00FC3785"/>
    <w:rsid w:val="00FC4F97"/>
    <w:rsid w:val="00FC68C3"/>
    <w:rsid w:val="00FD056E"/>
    <w:rsid w:val="00FD0690"/>
    <w:rsid w:val="00FD0BB0"/>
    <w:rsid w:val="00FD2285"/>
    <w:rsid w:val="00FD3C95"/>
    <w:rsid w:val="00FD4F36"/>
    <w:rsid w:val="00FD52D1"/>
    <w:rsid w:val="00FD5468"/>
    <w:rsid w:val="00FD5770"/>
    <w:rsid w:val="00FE23B4"/>
    <w:rsid w:val="00FE297B"/>
    <w:rsid w:val="00FE436C"/>
    <w:rsid w:val="00FE4738"/>
    <w:rsid w:val="00FE64E8"/>
    <w:rsid w:val="00FF04C8"/>
    <w:rsid w:val="00FF0FD2"/>
    <w:rsid w:val="00FF1276"/>
    <w:rsid w:val="00FF285E"/>
    <w:rsid w:val="00FF5FDA"/>
    <w:rsid w:val="00FF6A74"/>
    <w:rsid w:val="00FF75FF"/>
    <w:rsid w:val="0189490D"/>
    <w:rsid w:val="01D5336F"/>
    <w:rsid w:val="023A4EE8"/>
    <w:rsid w:val="02B549BA"/>
    <w:rsid w:val="02EF5762"/>
    <w:rsid w:val="03E44007"/>
    <w:rsid w:val="04045903"/>
    <w:rsid w:val="044F0DDF"/>
    <w:rsid w:val="04593ED7"/>
    <w:rsid w:val="04A158D4"/>
    <w:rsid w:val="04C86695"/>
    <w:rsid w:val="052E5871"/>
    <w:rsid w:val="059526A5"/>
    <w:rsid w:val="05A306A2"/>
    <w:rsid w:val="05CD131D"/>
    <w:rsid w:val="063B41E7"/>
    <w:rsid w:val="06444B79"/>
    <w:rsid w:val="06692EC2"/>
    <w:rsid w:val="067536D1"/>
    <w:rsid w:val="06D921BA"/>
    <w:rsid w:val="06F25FB9"/>
    <w:rsid w:val="071F3FF8"/>
    <w:rsid w:val="07443208"/>
    <w:rsid w:val="0774377B"/>
    <w:rsid w:val="08480002"/>
    <w:rsid w:val="085B3DB3"/>
    <w:rsid w:val="08C75A28"/>
    <w:rsid w:val="08F9393D"/>
    <w:rsid w:val="090B1C12"/>
    <w:rsid w:val="09471442"/>
    <w:rsid w:val="09756AB1"/>
    <w:rsid w:val="0A610BA2"/>
    <w:rsid w:val="0A6659E5"/>
    <w:rsid w:val="0A7D05F8"/>
    <w:rsid w:val="0AA11105"/>
    <w:rsid w:val="0B2E6BE3"/>
    <w:rsid w:val="0B3F3B67"/>
    <w:rsid w:val="0B85177A"/>
    <w:rsid w:val="0B92140A"/>
    <w:rsid w:val="0BBD2434"/>
    <w:rsid w:val="0BE66D2B"/>
    <w:rsid w:val="0BF45F23"/>
    <w:rsid w:val="0C5F2300"/>
    <w:rsid w:val="0C647A3B"/>
    <w:rsid w:val="0C932E72"/>
    <w:rsid w:val="0C9F61FA"/>
    <w:rsid w:val="0CF331C9"/>
    <w:rsid w:val="0D0D5BDE"/>
    <w:rsid w:val="0DBF1554"/>
    <w:rsid w:val="0E287A4A"/>
    <w:rsid w:val="0E4E1FC6"/>
    <w:rsid w:val="0EB8205E"/>
    <w:rsid w:val="0ECC5BB2"/>
    <w:rsid w:val="0EF01280"/>
    <w:rsid w:val="0EFE599D"/>
    <w:rsid w:val="0F202384"/>
    <w:rsid w:val="0FEA54EA"/>
    <w:rsid w:val="0FEE5E2C"/>
    <w:rsid w:val="108E57BE"/>
    <w:rsid w:val="110D79DD"/>
    <w:rsid w:val="11184513"/>
    <w:rsid w:val="11423D0A"/>
    <w:rsid w:val="11820567"/>
    <w:rsid w:val="11832AAA"/>
    <w:rsid w:val="11C5731A"/>
    <w:rsid w:val="11C90650"/>
    <w:rsid w:val="11DD54CA"/>
    <w:rsid w:val="12E76D6E"/>
    <w:rsid w:val="12F47048"/>
    <w:rsid w:val="145F2090"/>
    <w:rsid w:val="14892201"/>
    <w:rsid w:val="149D56C6"/>
    <w:rsid w:val="14B26B47"/>
    <w:rsid w:val="14D77946"/>
    <w:rsid w:val="15897D25"/>
    <w:rsid w:val="158F4B86"/>
    <w:rsid w:val="164146DB"/>
    <w:rsid w:val="16827888"/>
    <w:rsid w:val="171F3DC2"/>
    <w:rsid w:val="1722335B"/>
    <w:rsid w:val="173E1D4B"/>
    <w:rsid w:val="174B2B12"/>
    <w:rsid w:val="1787681D"/>
    <w:rsid w:val="178775DC"/>
    <w:rsid w:val="178F0BD8"/>
    <w:rsid w:val="17963DD6"/>
    <w:rsid w:val="17A16D05"/>
    <w:rsid w:val="18033730"/>
    <w:rsid w:val="18491F1B"/>
    <w:rsid w:val="188D4F7A"/>
    <w:rsid w:val="18B35C28"/>
    <w:rsid w:val="19C630ED"/>
    <w:rsid w:val="19C76DC1"/>
    <w:rsid w:val="19DB18FE"/>
    <w:rsid w:val="1A125C5A"/>
    <w:rsid w:val="1A565D8A"/>
    <w:rsid w:val="1A86037C"/>
    <w:rsid w:val="1A9770A6"/>
    <w:rsid w:val="1A977635"/>
    <w:rsid w:val="1ABA053C"/>
    <w:rsid w:val="1AC6550E"/>
    <w:rsid w:val="1AF70673"/>
    <w:rsid w:val="1AFB769E"/>
    <w:rsid w:val="1B04694D"/>
    <w:rsid w:val="1B131630"/>
    <w:rsid w:val="1B1E13A4"/>
    <w:rsid w:val="1B73014B"/>
    <w:rsid w:val="1C224837"/>
    <w:rsid w:val="1CF37F1E"/>
    <w:rsid w:val="1D5559B4"/>
    <w:rsid w:val="1DA2552F"/>
    <w:rsid w:val="1DB13337"/>
    <w:rsid w:val="1DBD2B2D"/>
    <w:rsid w:val="1E0850F8"/>
    <w:rsid w:val="1E387DCD"/>
    <w:rsid w:val="1E7439E1"/>
    <w:rsid w:val="1EC80A70"/>
    <w:rsid w:val="1F175D86"/>
    <w:rsid w:val="1F460D14"/>
    <w:rsid w:val="1F6F7A22"/>
    <w:rsid w:val="1FD648F6"/>
    <w:rsid w:val="20052AA1"/>
    <w:rsid w:val="20611D0E"/>
    <w:rsid w:val="20AF151F"/>
    <w:rsid w:val="2133612B"/>
    <w:rsid w:val="217B4A99"/>
    <w:rsid w:val="22335185"/>
    <w:rsid w:val="22385B99"/>
    <w:rsid w:val="22586DF5"/>
    <w:rsid w:val="2261210F"/>
    <w:rsid w:val="22C81F36"/>
    <w:rsid w:val="23134AA1"/>
    <w:rsid w:val="231F63EE"/>
    <w:rsid w:val="23277592"/>
    <w:rsid w:val="23E407B9"/>
    <w:rsid w:val="24290295"/>
    <w:rsid w:val="244E1971"/>
    <w:rsid w:val="251B2BF5"/>
    <w:rsid w:val="253343BA"/>
    <w:rsid w:val="253C4A71"/>
    <w:rsid w:val="25475CC6"/>
    <w:rsid w:val="2556094D"/>
    <w:rsid w:val="257A2395"/>
    <w:rsid w:val="25825548"/>
    <w:rsid w:val="25B90FC9"/>
    <w:rsid w:val="25B96FB2"/>
    <w:rsid w:val="26965BE5"/>
    <w:rsid w:val="26CF7641"/>
    <w:rsid w:val="26E929B0"/>
    <w:rsid w:val="27E622B9"/>
    <w:rsid w:val="280F6358"/>
    <w:rsid w:val="2823687C"/>
    <w:rsid w:val="287A1BAB"/>
    <w:rsid w:val="2895715D"/>
    <w:rsid w:val="289801CB"/>
    <w:rsid w:val="28FB7B25"/>
    <w:rsid w:val="29084217"/>
    <w:rsid w:val="295D6810"/>
    <w:rsid w:val="29763310"/>
    <w:rsid w:val="29844183"/>
    <w:rsid w:val="29B14C0C"/>
    <w:rsid w:val="2A174707"/>
    <w:rsid w:val="2A3675C6"/>
    <w:rsid w:val="2AA90E7C"/>
    <w:rsid w:val="2AD85C54"/>
    <w:rsid w:val="2B245626"/>
    <w:rsid w:val="2B2C1B81"/>
    <w:rsid w:val="2B490F99"/>
    <w:rsid w:val="2B4F407E"/>
    <w:rsid w:val="2B8742F0"/>
    <w:rsid w:val="2C27406F"/>
    <w:rsid w:val="2C2B1591"/>
    <w:rsid w:val="2C80451A"/>
    <w:rsid w:val="2C845827"/>
    <w:rsid w:val="2CD43A9E"/>
    <w:rsid w:val="2CE4511D"/>
    <w:rsid w:val="2D032492"/>
    <w:rsid w:val="2D1F46E2"/>
    <w:rsid w:val="2D2B53E8"/>
    <w:rsid w:val="2D797247"/>
    <w:rsid w:val="2DEB14C6"/>
    <w:rsid w:val="2DFB5540"/>
    <w:rsid w:val="2E26598C"/>
    <w:rsid w:val="2E30352F"/>
    <w:rsid w:val="2ED71745"/>
    <w:rsid w:val="2ED83C04"/>
    <w:rsid w:val="2F2723FF"/>
    <w:rsid w:val="2F811DA2"/>
    <w:rsid w:val="2F8D547B"/>
    <w:rsid w:val="2FFB25C5"/>
    <w:rsid w:val="30001C0A"/>
    <w:rsid w:val="303D2CC1"/>
    <w:rsid w:val="303E4E2D"/>
    <w:rsid w:val="3067798D"/>
    <w:rsid w:val="30AD3114"/>
    <w:rsid w:val="30B410CD"/>
    <w:rsid w:val="30E77FED"/>
    <w:rsid w:val="31474195"/>
    <w:rsid w:val="31ED56A0"/>
    <w:rsid w:val="32264E7F"/>
    <w:rsid w:val="325F3F6B"/>
    <w:rsid w:val="329C4B8B"/>
    <w:rsid w:val="33091CC4"/>
    <w:rsid w:val="33592622"/>
    <w:rsid w:val="335F2FA8"/>
    <w:rsid w:val="3391158F"/>
    <w:rsid w:val="33B54410"/>
    <w:rsid w:val="33E613F7"/>
    <w:rsid w:val="34265714"/>
    <w:rsid w:val="34316A8E"/>
    <w:rsid w:val="344A50C2"/>
    <w:rsid w:val="346F6F23"/>
    <w:rsid w:val="34B416ED"/>
    <w:rsid w:val="350C751E"/>
    <w:rsid w:val="353144CB"/>
    <w:rsid w:val="357A6227"/>
    <w:rsid w:val="358E5CA7"/>
    <w:rsid w:val="35A07518"/>
    <w:rsid w:val="36116125"/>
    <w:rsid w:val="363A3B4F"/>
    <w:rsid w:val="364D615E"/>
    <w:rsid w:val="366E2EA8"/>
    <w:rsid w:val="37B75E14"/>
    <w:rsid w:val="380137A5"/>
    <w:rsid w:val="38524FFB"/>
    <w:rsid w:val="38702BF4"/>
    <w:rsid w:val="38B17CCE"/>
    <w:rsid w:val="38D94DD5"/>
    <w:rsid w:val="38DD4B38"/>
    <w:rsid w:val="38FA49EB"/>
    <w:rsid w:val="39243B3B"/>
    <w:rsid w:val="39A433D9"/>
    <w:rsid w:val="39FB30CF"/>
    <w:rsid w:val="3A037BCA"/>
    <w:rsid w:val="3A8305F1"/>
    <w:rsid w:val="3A8B5B01"/>
    <w:rsid w:val="3AA966EE"/>
    <w:rsid w:val="3AC554B1"/>
    <w:rsid w:val="3AE8709F"/>
    <w:rsid w:val="3AEB58D1"/>
    <w:rsid w:val="3B1C5AC3"/>
    <w:rsid w:val="3B3D7089"/>
    <w:rsid w:val="3B587535"/>
    <w:rsid w:val="3B9E5858"/>
    <w:rsid w:val="3BFC281C"/>
    <w:rsid w:val="3C1D5373"/>
    <w:rsid w:val="3C303E13"/>
    <w:rsid w:val="3C36605F"/>
    <w:rsid w:val="3C3E105D"/>
    <w:rsid w:val="3C430A0F"/>
    <w:rsid w:val="3CDE36E0"/>
    <w:rsid w:val="3DD21067"/>
    <w:rsid w:val="3E9C12DB"/>
    <w:rsid w:val="3EAF0F44"/>
    <w:rsid w:val="3F184167"/>
    <w:rsid w:val="3F5624AB"/>
    <w:rsid w:val="3F9B0AC0"/>
    <w:rsid w:val="3FBB3E98"/>
    <w:rsid w:val="40755EE2"/>
    <w:rsid w:val="40B42CEB"/>
    <w:rsid w:val="411B29F7"/>
    <w:rsid w:val="414922E1"/>
    <w:rsid w:val="415948BC"/>
    <w:rsid w:val="418B12F5"/>
    <w:rsid w:val="418C40C5"/>
    <w:rsid w:val="41A7213D"/>
    <w:rsid w:val="4211083B"/>
    <w:rsid w:val="421B4C2D"/>
    <w:rsid w:val="42D176B7"/>
    <w:rsid w:val="430662D2"/>
    <w:rsid w:val="43513E94"/>
    <w:rsid w:val="437D1054"/>
    <w:rsid w:val="43B00D63"/>
    <w:rsid w:val="43D674C5"/>
    <w:rsid w:val="43F66208"/>
    <w:rsid w:val="44476A64"/>
    <w:rsid w:val="4449553C"/>
    <w:rsid w:val="445059DF"/>
    <w:rsid w:val="44AC1B6F"/>
    <w:rsid w:val="44E25554"/>
    <w:rsid w:val="44E727FB"/>
    <w:rsid w:val="45070B2C"/>
    <w:rsid w:val="45561110"/>
    <w:rsid w:val="45655EE4"/>
    <w:rsid w:val="459169CA"/>
    <w:rsid w:val="45A766FD"/>
    <w:rsid w:val="461C3B64"/>
    <w:rsid w:val="46367E4A"/>
    <w:rsid w:val="473006B8"/>
    <w:rsid w:val="47357DD3"/>
    <w:rsid w:val="477B7C1F"/>
    <w:rsid w:val="478028AE"/>
    <w:rsid w:val="47D171C6"/>
    <w:rsid w:val="47DF6AAC"/>
    <w:rsid w:val="47F51B56"/>
    <w:rsid w:val="484552AF"/>
    <w:rsid w:val="485F4731"/>
    <w:rsid w:val="489C44D5"/>
    <w:rsid w:val="489E0950"/>
    <w:rsid w:val="48B8749B"/>
    <w:rsid w:val="48EB6B00"/>
    <w:rsid w:val="491241F6"/>
    <w:rsid w:val="495F078E"/>
    <w:rsid w:val="49AD05F5"/>
    <w:rsid w:val="49D86A3A"/>
    <w:rsid w:val="49E311FD"/>
    <w:rsid w:val="49E4763C"/>
    <w:rsid w:val="4A4B5A71"/>
    <w:rsid w:val="4A6A7252"/>
    <w:rsid w:val="4A751EBB"/>
    <w:rsid w:val="4A837182"/>
    <w:rsid w:val="4AE47B2C"/>
    <w:rsid w:val="4B236BBB"/>
    <w:rsid w:val="4BA00297"/>
    <w:rsid w:val="4BAC5959"/>
    <w:rsid w:val="4BCA3F94"/>
    <w:rsid w:val="4BE72F27"/>
    <w:rsid w:val="4BF21A75"/>
    <w:rsid w:val="4C4415DC"/>
    <w:rsid w:val="4C4E6EF6"/>
    <w:rsid w:val="4CB85C94"/>
    <w:rsid w:val="4DB315B6"/>
    <w:rsid w:val="4DCE6238"/>
    <w:rsid w:val="4E0A0B68"/>
    <w:rsid w:val="4E1E07AE"/>
    <w:rsid w:val="4E7054D4"/>
    <w:rsid w:val="4E8C7034"/>
    <w:rsid w:val="4F3103DF"/>
    <w:rsid w:val="4F323C83"/>
    <w:rsid w:val="4F7B1FD0"/>
    <w:rsid w:val="4F7F215C"/>
    <w:rsid w:val="4F9B03E6"/>
    <w:rsid w:val="4FF80BFB"/>
    <w:rsid w:val="50104C69"/>
    <w:rsid w:val="50AE289B"/>
    <w:rsid w:val="51106AAB"/>
    <w:rsid w:val="51164EC5"/>
    <w:rsid w:val="519A6A1D"/>
    <w:rsid w:val="51CB517E"/>
    <w:rsid w:val="52301DA9"/>
    <w:rsid w:val="52C00858"/>
    <w:rsid w:val="52C2248F"/>
    <w:rsid w:val="530C4D26"/>
    <w:rsid w:val="53C5776A"/>
    <w:rsid w:val="540C3F04"/>
    <w:rsid w:val="54574766"/>
    <w:rsid w:val="545818F4"/>
    <w:rsid w:val="54F97095"/>
    <w:rsid w:val="55246E25"/>
    <w:rsid w:val="553560A7"/>
    <w:rsid w:val="55415924"/>
    <w:rsid w:val="55635015"/>
    <w:rsid w:val="55724889"/>
    <w:rsid w:val="55AD1DCD"/>
    <w:rsid w:val="56093471"/>
    <w:rsid w:val="562D7609"/>
    <w:rsid w:val="565D0E04"/>
    <w:rsid w:val="56887079"/>
    <w:rsid w:val="56BA7016"/>
    <w:rsid w:val="573608C6"/>
    <w:rsid w:val="5747116E"/>
    <w:rsid w:val="57553BEB"/>
    <w:rsid w:val="575E7E48"/>
    <w:rsid w:val="57A92AD0"/>
    <w:rsid w:val="57BA145F"/>
    <w:rsid w:val="57E70888"/>
    <w:rsid w:val="57F4093D"/>
    <w:rsid w:val="582164F0"/>
    <w:rsid w:val="58A90B95"/>
    <w:rsid w:val="58AF0EB0"/>
    <w:rsid w:val="58C93A11"/>
    <w:rsid w:val="58EB2F8A"/>
    <w:rsid w:val="59136284"/>
    <w:rsid w:val="5A090F02"/>
    <w:rsid w:val="5A1D1AA6"/>
    <w:rsid w:val="5A2D2964"/>
    <w:rsid w:val="5AAD0483"/>
    <w:rsid w:val="5B311FFA"/>
    <w:rsid w:val="5BE76684"/>
    <w:rsid w:val="5C09228D"/>
    <w:rsid w:val="5C4924A6"/>
    <w:rsid w:val="5C607316"/>
    <w:rsid w:val="5CEE0813"/>
    <w:rsid w:val="5D26574A"/>
    <w:rsid w:val="5D397033"/>
    <w:rsid w:val="5DDB4AD6"/>
    <w:rsid w:val="5E0141B5"/>
    <w:rsid w:val="5E657CFE"/>
    <w:rsid w:val="5E976AE1"/>
    <w:rsid w:val="5F695437"/>
    <w:rsid w:val="6013499C"/>
    <w:rsid w:val="603A5FA7"/>
    <w:rsid w:val="60622D78"/>
    <w:rsid w:val="609F5300"/>
    <w:rsid w:val="60D218DD"/>
    <w:rsid w:val="60DD04EC"/>
    <w:rsid w:val="60FA4BF8"/>
    <w:rsid w:val="613F3073"/>
    <w:rsid w:val="616F0162"/>
    <w:rsid w:val="618162DB"/>
    <w:rsid w:val="622C18D2"/>
    <w:rsid w:val="622D186B"/>
    <w:rsid w:val="626258E4"/>
    <w:rsid w:val="62CF349A"/>
    <w:rsid w:val="639543D0"/>
    <w:rsid w:val="64213BDD"/>
    <w:rsid w:val="64346A01"/>
    <w:rsid w:val="645F471C"/>
    <w:rsid w:val="64881420"/>
    <w:rsid w:val="64C1215F"/>
    <w:rsid w:val="64FF5F47"/>
    <w:rsid w:val="65046CF4"/>
    <w:rsid w:val="66A26523"/>
    <w:rsid w:val="66CE1E41"/>
    <w:rsid w:val="66DB2370"/>
    <w:rsid w:val="66E27C11"/>
    <w:rsid w:val="67417528"/>
    <w:rsid w:val="676B7E58"/>
    <w:rsid w:val="679B2C40"/>
    <w:rsid w:val="67F16520"/>
    <w:rsid w:val="683528BC"/>
    <w:rsid w:val="683A7510"/>
    <w:rsid w:val="691965E3"/>
    <w:rsid w:val="694F68DA"/>
    <w:rsid w:val="698B0720"/>
    <w:rsid w:val="6993456B"/>
    <w:rsid w:val="69937234"/>
    <w:rsid w:val="69D763F0"/>
    <w:rsid w:val="69D876EE"/>
    <w:rsid w:val="6A38733B"/>
    <w:rsid w:val="6A3D4E82"/>
    <w:rsid w:val="6A7F0C7E"/>
    <w:rsid w:val="6B6D589A"/>
    <w:rsid w:val="6B723501"/>
    <w:rsid w:val="6BDE5C7F"/>
    <w:rsid w:val="6D231E9C"/>
    <w:rsid w:val="6D3A47BC"/>
    <w:rsid w:val="6D8C5F2C"/>
    <w:rsid w:val="6D8D33B9"/>
    <w:rsid w:val="6DAA0BFC"/>
    <w:rsid w:val="6DB74AA1"/>
    <w:rsid w:val="6E817E85"/>
    <w:rsid w:val="6EC2223F"/>
    <w:rsid w:val="6EE7141B"/>
    <w:rsid w:val="6F085543"/>
    <w:rsid w:val="6F2065A1"/>
    <w:rsid w:val="6FD12E23"/>
    <w:rsid w:val="6FE94145"/>
    <w:rsid w:val="701809B3"/>
    <w:rsid w:val="702920CE"/>
    <w:rsid w:val="70842CFA"/>
    <w:rsid w:val="71443CD6"/>
    <w:rsid w:val="71591785"/>
    <w:rsid w:val="71697A56"/>
    <w:rsid w:val="719707D5"/>
    <w:rsid w:val="7335170E"/>
    <w:rsid w:val="73593D3E"/>
    <w:rsid w:val="73967B38"/>
    <w:rsid w:val="74E72232"/>
    <w:rsid w:val="75072A87"/>
    <w:rsid w:val="75ED6200"/>
    <w:rsid w:val="75F00DFC"/>
    <w:rsid w:val="761A1C62"/>
    <w:rsid w:val="77047100"/>
    <w:rsid w:val="771167BE"/>
    <w:rsid w:val="7733087F"/>
    <w:rsid w:val="77B247C0"/>
    <w:rsid w:val="77BB7D8E"/>
    <w:rsid w:val="781A4CC3"/>
    <w:rsid w:val="78A76067"/>
    <w:rsid w:val="791C0C85"/>
    <w:rsid w:val="791D2D75"/>
    <w:rsid w:val="794A3A1D"/>
    <w:rsid w:val="797C7240"/>
    <w:rsid w:val="7A0F6A9B"/>
    <w:rsid w:val="7A710AAF"/>
    <w:rsid w:val="7A893449"/>
    <w:rsid w:val="7AB07B50"/>
    <w:rsid w:val="7B173BDB"/>
    <w:rsid w:val="7B692672"/>
    <w:rsid w:val="7B706597"/>
    <w:rsid w:val="7B7326E6"/>
    <w:rsid w:val="7BA3346A"/>
    <w:rsid w:val="7BF81460"/>
    <w:rsid w:val="7C0B1097"/>
    <w:rsid w:val="7D143B1A"/>
    <w:rsid w:val="7D1C6005"/>
    <w:rsid w:val="7D881FEE"/>
    <w:rsid w:val="7DCE172C"/>
    <w:rsid w:val="7E235190"/>
    <w:rsid w:val="7E2D4FC5"/>
    <w:rsid w:val="7E993326"/>
    <w:rsid w:val="7ED756F6"/>
    <w:rsid w:val="7EFA085D"/>
    <w:rsid w:val="7F1422D8"/>
    <w:rsid w:val="7F1D52F2"/>
    <w:rsid w:val="7F2B713B"/>
    <w:rsid w:val="7F3D4EC7"/>
    <w:rsid w:val="7F750ACB"/>
    <w:rsid w:val="7FEF66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uiPriority="0" w:name="HTML Acronym"/>
    <w:lsdException w:qFormat="1" w:unhideWhenUsed="0" w:uiPriority="0" w:semiHidden="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qFormat/>
    <w:uiPriority w:val="0"/>
    <w:pPr>
      <w:keepNext/>
      <w:keepLines/>
      <w:spacing w:before="260" w:after="260" w:line="413" w:lineRule="auto"/>
      <w:outlineLvl w:val="1"/>
    </w:pPr>
    <w:rPr>
      <w:sz w:val="28"/>
    </w:rPr>
  </w:style>
  <w:style w:type="paragraph" w:styleId="5">
    <w:name w:val="heading 3"/>
    <w:basedOn w:val="1"/>
    <w:next w:val="1"/>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sz w:val="28"/>
    </w:rPr>
  </w:style>
  <w:style w:type="paragraph" w:styleId="7">
    <w:name w:val="heading 5"/>
    <w:basedOn w:val="1"/>
    <w:next w:val="1"/>
    <w:qFormat/>
    <w:uiPriority w:val="0"/>
    <w:pPr>
      <w:keepNext/>
      <w:keepLines/>
      <w:spacing w:before="280" w:after="290" w:line="372" w:lineRule="auto"/>
      <w:outlineLvl w:val="4"/>
    </w:pPr>
    <w:rPr>
      <w:b/>
      <w:sz w:val="28"/>
    </w:rPr>
  </w:style>
  <w:style w:type="paragraph" w:styleId="8">
    <w:name w:val="heading 6"/>
    <w:basedOn w:val="1"/>
    <w:next w:val="1"/>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1"/>
    <w:qFormat/>
    <w:uiPriority w:val="0"/>
    <w:pPr>
      <w:keepNext/>
      <w:keepLines/>
      <w:spacing w:before="240" w:after="64" w:line="317" w:lineRule="auto"/>
      <w:outlineLvl w:val="6"/>
    </w:pPr>
    <w:rPr>
      <w:b/>
      <w:sz w:val="24"/>
    </w:rPr>
  </w:style>
  <w:style w:type="paragraph" w:styleId="10">
    <w:name w:val="heading 8"/>
    <w:basedOn w:val="1"/>
    <w:next w:val="1"/>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1"/>
    <w:qFormat/>
    <w:uiPriority w:val="0"/>
    <w:pPr>
      <w:keepNext/>
      <w:keepLines/>
      <w:spacing w:before="240" w:after="64" w:line="317" w:lineRule="auto"/>
      <w:outlineLvl w:val="8"/>
    </w:pPr>
    <w:rPr>
      <w:rFonts w:ascii="Arial" w:hAnsi="Arial" w:eastAsia="黑体"/>
    </w:rPr>
  </w:style>
  <w:style w:type="character" w:default="1" w:styleId="89">
    <w:name w:val="Default Paragraph Font"/>
    <w:semiHidden/>
    <w:unhideWhenUsed/>
    <w:qFormat/>
    <w:uiPriority w:val="1"/>
  </w:style>
  <w:style w:type="table" w:default="1" w:styleId="88">
    <w:name w:val="Normal Table"/>
    <w:semiHidden/>
    <w:unhideWhenUsed/>
    <w:qFormat/>
    <w:uiPriority w:val="99"/>
    <w:tblPr>
      <w:tblLayout w:type="fixed"/>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lang w:val="en-US" w:eastAsia="zh-CN" w:bidi="ar-SA"/>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tabs>
        <w:tab w:val="left" w:pos="780"/>
      </w:tabs>
      <w:ind w:left="780" w:hanging="360"/>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tabs>
        <w:tab w:val="left" w:pos="1620"/>
      </w:tabs>
      <w:ind w:left="1620" w:hanging="360"/>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tabs>
        <w:tab w:val="left" w:pos="360"/>
      </w:tabs>
      <w:ind w:left="360" w:hanging="360"/>
    </w:pPr>
  </w:style>
  <w:style w:type="paragraph" w:styleId="21">
    <w:name w:val="Normal Indent"/>
    <w:basedOn w:val="1"/>
    <w:qFormat/>
    <w:uiPriority w:val="0"/>
    <w:pPr>
      <w:ind w:firstLine="420" w:firstLineChars="200"/>
    </w:pPr>
  </w:style>
  <w:style w:type="paragraph" w:styleId="22">
    <w:name w:val="caption"/>
    <w:basedOn w:val="1"/>
    <w:next w:val="1"/>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tabs>
        <w:tab w:val="left" w:pos="360"/>
      </w:tabs>
      <w:ind w:left="360" w:hanging="360"/>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pPr>
    <w:rPr>
      <w:sz w:val="16"/>
    </w:rPr>
  </w:style>
  <w:style w:type="paragraph" w:styleId="32">
    <w:name w:val="Closing"/>
    <w:basedOn w:val="1"/>
    <w:qFormat/>
    <w:uiPriority w:val="0"/>
    <w:pPr>
      <w:ind w:left="100" w:leftChars="2100"/>
    </w:pPr>
  </w:style>
  <w:style w:type="paragraph" w:styleId="33">
    <w:name w:val="List Bullet 3"/>
    <w:basedOn w:val="1"/>
    <w:qFormat/>
    <w:uiPriority w:val="0"/>
    <w:pPr>
      <w:tabs>
        <w:tab w:val="left" w:pos="1200"/>
      </w:tabs>
      <w:ind w:left="1200" w:hanging="360"/>
    </w:pPr>
  </w:style>
  <w:style w:type="paragraph" w:styleId="34">
    <w:name w:val="Body Text"/>
    <w:basedOn w:val="1"/>
    <w:qFormat/>
    <w:uiPriority w:val="0"/>
    <w:pPr>
      <w:spacing w:after="120"/>
    </w:pPr>
  </w:style>
  <w:style w:type="paragraph" w:styleId="35">
    <w:name w:val="Body Text Indent"/>
    <w:basedOn w:val="1"/>
    <w:qFormat/>
    <w:uiPriority w:val="0"/>
    <w:pPr>
      <w:spacing w:after="120"/>
      <w:ind w:left="420" w:leftChars="200"/>
    </w:pPr>
  </w:style>
  <w:style w:type="paragraph" w:styleId="36">
    <w:name w:val="List Number 3"/>
    <w:basedOn w:val="1"/>
    <w:qFormat/>
    <w:uiPriority w:val="0"/>
    <w:pPr>
      <w:tabs>
        <w:tab w:val="left" w:pos="1200"/>
      </w:tabs>
      <w:ind w:left="1200" w:hanging="360"/>
    </w:pPr>
  </w:style>
  <w:style w:type="paragraph" w:styleId="37">
    <w:name w:val="List 2"/>
    <w:basedOn w:val="1"/>
    <w:qFormat/>
    <w:uiPriority w:val="0"/>
    <w:pPr>
      <w:ind w:left="100" w:leftChars="200" w:hanging="200" w:hangingChars="200"/>
    </w:pPr>
  </w:style>
  <w:style w:type="paragraph" w:styleId="38">
    <w:name w:val="List Continue"/>
    <w:basedOn w:val="1"/>
    <w:qFormat/>
    <w:uiPriority w:val="0"/>
    <w:pPr>
      <w:spacing w:after="120"/>
      <w:ind w:left="420" w:leftChars="200"/>
    </w:pPr>
  </w:style>
  <w:style w:type="paragraph" w:styleId="39">
    <w:name w:val="Block Text"/>
    <w:basedOn w:val="1"/>
    <w:qFormat/>
    <w:uiPriority w:val="0"/>
    <w:pPr>
      <w:spacing w:after="120"/>
      <w:ind w:left="1440" w:leftChars="700" w:right="700" w:rightChars="700"/>
    </w:pPr>
  </w:style>
  <w:style w:type="paragraph" w:styleId="40">
    <w:name w:val="List Bullet 2"/>
    <w:basedOn w:val="1"/>
    <w:qFormat/>
    <w:uiPriority w:val="0"/>
    <w:pPr>
      <w:tabs>
        <w:tab w:val="left" w:pos="780"/>
      </w:tabs>
      <w:ind w:left="780" w:hanging="360"/>
    </w:pPr>
  </w:style>
  <w:style w:type="paragraph" w:styleId="41">
    <w:name w:val="HTML Address"/>
    <w:basedOn w:val="1"/>
    <w:qFormat/>
    <w:uiPriority w:val="0"/>
    <w:rPr>
      <w:i/>
    </w:rPr>
  </w:style>
  <w:style w:type="paragraph" w:styleId="42">
    <w:name w:val="index 4"/>
    <w:basedOn w:val="1"/>
    <w:next w:val="1"/>
    <w:qFormat/>
    <w:uiPriority w:val="0"/>
    <w:pPr>
      <w:ind w:left="600" w:leftChars="600"/>
    </w:pPr>
  </w:style>
  <w:style w:type="paragraph" w:styleId="43">
    <w:name w:val="toc 5"/>
    <w:basedOn w:val="1"/>
    <w:next w:val="1"/>
    <w:qFormat/>
    <w:uiPriority w:val="0"/>
    <w:pPr>
      <w:ind w:left="1680" w:leftChars="800"/>
    </w:pPr>
  </w:style>
  <w:style w:type="paragraph" w:styleId="44">
    <w:name w:val="toc 3"/>
    <w:basedOn w:val="1"/>
    <w:next w:val="1"/>
    <w:qFormat/>
    <w:uiPriority w:val="0"/>
    <w:pPr>
      <w:ind w:left="840" w:leftChars="400"/>
    </w:pPr>
  </w:style>
  <w:style w:type="paragraph" w:styleId="45">
    <w:name w:val="Plain Text"/>
    <w:basedOn w:val="1"/>
    <w:qFormat/>
    <w:uiPriority w:val="0"/>
    <w:rPr>
      <w:rFonts w:ascii="宋体" w:hAnsi="Courier New"/>
    </w:rPr>
  </w:style>
  <w:style w:type="paragraph" w:styleId="46">
    <w:name w:val="List Bullet 5"/>
    <w:basedOn w:val="1"/>
    <w:qFormat/>
    <w:uiPriority w:val="0"/>
    <w:pPr>
      <w:tabs>
        <w:tab w:val="left" w:pos="2040"/>
      </w:tabs>
      <w:ind w:left="2040" w:hanging="360"/>
    </w:pPr>
  </w:style>
  <w:style w:type="paragraph" w:styleId="47">
    <w:name w:val="List Number 4"/>
    <w:basedOn w:val="1"/>
    <w:qFormat/>
    <w:uiPriority w:val="0"/>
    <w:pPr>
      <w:tabs>
        <w:tab w:val="left" w:pos="1620"/>
      </w:tabs>
      <w:ind w:left="1620" w:hanging="360"/>
    </w:pPr>
  </w:style>
  <w:style w:type="paragraph" w:styleId="48">
    <w:name w:val="toc 8"/>
    <w:basedOn w:val="1"/>
    <w:next w:val="1"/>
    <w:qFormat/>
    <w:uiPriority w:val="0"/>
    <w:pPr>
      <w:ind w:left="2940" w:leftChars="1400"/>
    </w:pPr>
  </w:style>
  <w:style w:type="paragraph" w:styleId="49">
    <w:name w:val="index 3"/>
    <w:basedOn w:val="1"/>
    <w:next w:val="1"/>
    <w:qFormat/>
    <w:uiPriority w:val="0"/>
    <w:pPr>
      <w:ind w:left="400" w:leftChars="400"/>
    </w:pPr>
  </w:style>
  <w:style w:type="paragraph" w:styleId="50">
    <w:name w:val="Date"/>
    <w:basedOn w:val="1"/>
    <w:next w:val="1"/>
    <w:qFormat/>
    <w:uiPriority w:val="0"/>
    <w:pPr>
      <w:ind w:left="100" w:leftChars="2500"/>
    </w:pPr>
  </w:style>
  <w:style w:type="paragraph" w:styleId="51">
    <w:name w:val="Body Text Indent 2"/>
    <w:basedOn w:val="1"/>
    <w:qFormat/>
    <w:uiPriority w:val="0"/>
    <w:pPr>
      <w:spacing w:after="120" w:line="480" w:lineRule="auto"/>
      <w:ind w:left="420" w:leftChars="200"/>
    </w:pPr>
  </w:style>
  <w:style w:type="paragraph" w:styleId="52">
    <w:name w:val="endnote text"/>
    <w:basedOn w:val="1"/>
    <w:qFormat/>
    <w:uiPriority w:val="0"/>
    <w:pPr>
      <w:snapToGrid w:val="0"/>
      <w:jc w:val="left"/>
    </w:pPr>
  </w:style>
  <w:style w:type="paragraph" w:styleId="53">
    <w:name w:val="List Continue 5"/>
    <w:basedOn w:val="1"/>
    <w:qFormat/>
    <w:uiPriority w:val="0"/>
    <w:pPr>
      <w:spacing w:after="120"/>
      <w:ind w:left="2100" w:leftChars="1000"/>
    </w:pPr>
  </w:style>
  <w:style w:type="paragraph" w:styleId="54">
    <w:name w:val="Balloon Text"/>
    <w:basedOn w:val="1"/>
    <w:qFormat/>
    <w:uiPriority w:val="0"/>
    <w:rPr>
      <w:sz w:val="18"/>
    </w:rPr>
  </w:style>
  <w:style w:type="paragraph" w:styleId="55">
    <w:name w:val="footer"/>
    <w:basedOn w:val="1"/>
    <w:qFormat/>
    <w:uiPriority w:val="0"/>
    <w:pPr>
      <w:tabs>
        <w:tab w:val="center" w:pos="4153"/>
        <w:tab w:val="right" w:pos="8306"/>
      </w:tabs>
      <w:snapToGrid w:val="0"/>
      <w:jc w:val="left"/>
    </w:pPr>
    <w:rPr>
      <w:sz w:val="18"/>
    </w:rPr>
  </w:style>
  <w:style w:type="paragraph" w:styleId="56">
    <w:name w:val="envelope return"/>
    <w:basedOn w:val="1"/>
    <w:qFormat/>
    <w:uiPriority w:val="0"/>
    <w:pPr>
      <w:snapToGrid w:val="0"/>
    </w:pPr>
    <w:rPr>
      <w:rFonts w:ascii="Arial" w:hAnsi="Arial"/>
    </w:rPr>
  </w:style>
  <w:style w:type="paragraph" w:styleId="57">
    <w:name w:val="header"/>
    <w:basedOn w:val="1"/>
    <w:link w:val="115"/>
    <w:qFormat/>
    <w:uiPriority w:val="0"/>
    <w:pPr>
      <w:pBdr>
        <w:bottom w:val="single" w:color="auto" w:sz="6" w:space="1"/>
      </w:pBdr>
      <w:tabs>
        <w:tab w:val="center" w:pos="4153"/>
        <w:tab w:val="right" w:pos="8306"/>
      </w:tabs>
      <w:snapToGrid w:val="0"/>
      <w:jc w:val="center"/>
    </w:pPr>
    <w:rPr>
      <w:rFonts w:ascii="Calibri" w:hAnsi="Calibri"/>
      <w:sz w:val="18"/>
    </w:rPr>
  </w:style>
  <w:style w:type="paragraph" w:styleId="58">
    <w:name w:val="Signature"/>
    <w:basedOn w:val="1"/>
    <w:qFormat/>
    <w:uiPriority w:val="0"/>
    <w:pPr>
      <w:ind w:left="100" w:leftChars="2100"/>
    </w:pPr>
  </w:style>
  <w:style w:type="paragraph" w:styleId="59">
    <w:name w:val="toc 1"/>
    <w:basedOn w:val="1"/>
    <w:next w:val="1"/>
    <w:qFormat/>
    <w:uiPriority w:val="0"/>
  </w:style>
  <w:style w:type="paragraph" w:styleId="60">
    <w:name w:val="List Continue 4"/>
    <w:basedOn w:val="1"/>
    <w:qFormat/>
    <w:uiPriority w:val="0"/>
    <w:pPr>
      <w:spacing w:after="120"/>
      <w:ind w:left="1680" w:leftChars="800"/>
    </w:pPr>
  </w:style>
  <w:style w:type="paragraph" w:styleId="61">
    <w:name w:val="toc 4"/>
    <w:basedOn w:val="1"/>
    <w:next w:val="1"/>
    <w:qFormat/>
    <w:uiPriority w:val="0"/>
    <w:pPr>
      <w:ind w:left="1260" w:leftChars="600"/>
    </w:pPr>
  </w:style>
  <w:style w:type="paragraph" w:styleId="62">
    <w:name w:val="index heading"/>
    <w:basedOn w:val="1"/>
    <w:next w:val="63"/>
    <w:qFormat/>
    <w:uiPriority w:val="0"/>
    <w:rPr>
      <w:rFonts w:ascii="Arial" w:hAnsi="Arial"/>
      <w:b/>
    </w:rPr>
  </w:style>
  <w:style w:type="paragraph" w:styleId="63">
    <w:name w:val="index 1"/>
    <w:basedOn w:val="1"/>
    <w:next w:val="1"/>
    <w:qFormat/>
    <w:uiPriority w:val="0"/>
  </w:style>
  <w:style w:type="paragraph" w:styleId="64">
    <w:name w:val="Subtitle"/>
    <w:basedOn w:val="1"/>
    <w:qFormat/>
    <w:uiPriority w:val="0"/>
    <w:pPr>
      <w:spacing w:before="240" w:after="60" w:line="312" w:lineRule="auto"/>
      <w:jc w:val="center"/>
      <w:outlineLvl w:val="1"/>
    </w:pPr>
    <w:rPr>
      <w:rFonts w:ascii="Arial" w:hAnsi="Arial"/>
      <w:b/>
      <w:kern w:val="28"/>
      <w:sz w:val="32"/>
    </w:rPr>
  </w:style>
  <w:style w:type="paragraph" w:styleId="65">
    <w:name w:val="List Number 5"/>
    <w:basedOn w:val="1"/>
    <w:qFormat/>
    <w:uiPriority w:val="0"/>
    <w:pPr>
      <w:tabs>
        <w:tab w:val="left" w:pos="2040"/>
      </w:tabs>
      <w:ind w:left="2040" w:hanging="360"/>
    </w:pPr>
  </w:style>
  <w:style w:type="paragraph" w:styleId="66">
    <w:name w:val="List"/>
    <w:basedOn w:val="1"/>
    <w:qFormat/>
    <w:uiPriority w:val="0"/>
    <w:pPr>
      <w:ind w:left="200" w:hanging="200" w:hangingChars="200"/>
    </w:pPr>
  </w:style>
  <w:style w:type="paragraph" w:styleId="67">
    <w:name w:val="footnote text"/>
    <w:basedOn w:val="1"/>
    <w:qFormat/>
    <w:uiPriority w:val="0"/>
    <w:pPr>
      <w:snapToGrid w:val="0"/>
      <w:jc w:val="left"/>
    </w:pPr>
    <w:rPr>
      <w:sz w:val="18"/>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pPr>
  </w:style>
  <w:style w:type="paragraph" w:styleId="70">
    <w:name w:val="Body Text Indent 3"/>
    <w:basedOn w:val="1"/>
    <w:qFormat/>
    <w:uiPriority w:val="0"/>
    <w:pPr>
      <w:spacing w:line="300" w:lineRule="auto"/>
      <w:ind w:firstLine="480" w:firstLineChars="200"/>
    </w:pPr>
    <w:rPr>
      <w:sz w:val="24"/>
    </w:rPr>
  </w:style>
  <w:style w:type="paragraph" w:styleId="71">
    <w:name w:val="index 7"/>
    <w:basedOn w:val="1"/>
    <w:next w:val="1"/>
    <w:qFormat/>
    <w:uiPriority w:val="0"/>
    <w:pPr>
      <w:ind w:left="1200" w:leftChars="1200"/>
    </w:pPr>
  </w:style>
  <w:style w:type="paragraph" w:styleId="72">
    <w:name w:val="index 9"/>
    <w:basedOn w:val="1"/>
    <w:next w:val="1"/>
    <w:qFormat/>
    <w:uiPriority w:val="0"/>
    <w:pPr>
      <w:ind w:left="1600" w:leftChars="1600"/>
    </w:pPr>
  </w:style>
  <w:style w:type="paragraph" w:styleId="73">
    <w:name w:val="table of figures"/>
    <w:basedOn w:val="1"/>
    <w:next w:val="1"/>
    <w:qFormat/>
    <w:uiPriority w:val="0"/>
    <w:pPr>
      <w:ind w:left="200" w:leftChars="200" w:hanging="200" w:hangingChars="200"/>
    </w:pPr>
  </w:style>
  <w:style w:type="paragraph" w:styleId="74">
    <w:name w:val="toc 2"/>
    <w:basedOn w:val="1"/>
    <w:next w:val="1"/>
    <w:qFormat/>
    <w:uiPriority w:val="0"/>
    <w:pPr>
      <w:ind w:left="420" w:leftChars="200"/>
    </w:pPr>
  </w:style>
  <w:style w:type="paragraph" w:styleId="75">
    <w:name w:val="toc 9"/>
    <w:basedOn w:val="1"/>
    <w:next w:val="1"/>
    <w:qFormat/>
    <w:uiPriority w:val="0"/>
    <w:pPr>
      <w:ind w:left="3360" w:leftChars="1600"/>
    </w:pPr>
  </w:style>
  <w:style w:type="paragraph" w:styleId="76">
    <w:name w:val="Body Text 2"/>
    <w:basedOn w:val="1"/>
    <w:qFormat/>
    <w:uiPriority w:val="0"/>
    <w:pPr>
      <w:spacing w:after="120" w:line="480" w:lineRule="auto"/>
    </w:pPr>
  </w:style>
  <w:style w:type="paragraph" w:styleId="77">
    <w:name w:val="List 4"/>
    <w:basedOn w:val="1"/>
    <w:qFormat/>
    <w:uiPriority w:val="0"/>
    <w:pPr>
      <w:ind w:left="100" w:leftChars="600" w:hanging="200" w:hangingChars="200"/>
    </w:pPr>
  </w:style>
  <w:style w:type="paragraph" w:styleId="78">
    <w:name w:val="List Continue 2"/>
    <w:basedOn w:val="1"/>
    <w:qFormat/>
    <w:uiPriority w:val="0"/>
    <w:pPr>
      <w:spacing w:after="120"/>
      <w:ind w:left="840" w:leftChars="400"/>
    </w:pPr>
  </w:style>
  <w:style w:type="paragraph" w:styleId="79">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0">
    <w:name w:val="HTML Preformatted"/>
    <w:basedOn w:val="1"/>
    <w:link w:val="110"/>
    <w:qFormat/>
    <w:uiPriority w:val="99"/>
    <w:rPr>
      <w:rFonts w:ascii="Courier New" w:hAnsi="Courier New"/>
    </w:rPr>
  </w:style>
  <w:style w:type="paragraph" w:styleId="81">
    <w:name w:val="Normal (Web)"/>
    <w:basedOn w:val="1"/>
    <w:qFormat/>
    <w:uiPriority w:val="99"/>
    <w:pPr>
      <w:spacing w:before="100" w:beforeAutospacing="1" w:after="100" w:afterAutospacing="1"/>
      <w:jc w:val="left"/>
    </w:pPr>
    <w:rPr>
      <w:kern w:val="0"/>
      <w:sz w:val="24"/>
    </w:rPr>
  </w:style>
  <w:style w:type="paragraph" w:styleId="82">
    <w:name w:val="List Continue 3"/>
    <w:basedOn w:val="1"/>
    <w:qFormat/>
    <w:uiPriority w:val="0"/>
    <w:pPr>
      <w:spacing w:after="120"/>
      <w:ind w:left="1260" w:leftChars="600"/>
    </w:pPr>
  </w:style>
  <w:style w:type="paragraph" w:styleId="83">
    <w:name w:val="index 2"/>
    <w:basedOn w:val="1"/>
    <w:next w:val="1"/>
    <w:qFormat/>
    <w:uiPriority w:val="0"/>
    <w:pPr>
      <w:ind w:left="200" w:leftChars="200"/>
    </w:pPr>
  </w:style>
  <w:style w:type="paragraph" w:styleId="84">
    <w:name w:val="Title"/>
    <w:basedOn w:val="1"/>
    <w:qFormat/>
    <w:uiPriority w:val="0"/>
    <w:pPr>
      <w:spacing w:before="240" w:after="60"/>
      <w:jc w:val="center"/>
      <w:outlineLvl w:val="0"/>
    </w:pPr>
    <w:rPr>
      <w:rFonts w:ascii="Arial" w:hAnsi="Arial"/>
      <w:b/>
      <w:sz w:val="32"/>
    </w:rPr>
  </w:style>
  <w:style w:type="paragraph" w:styleId="85">
    <w:name w:val="annotation subject"/>
    <w:basedOn w:val="28"/>
    <w:next w:val="28"/>
    <w:qFormat/>
    <w:uiPriority w:val="0"/>
    <w:rPr>
      <w:b/>
    </w:rPr>
  </w:style>
  <w:style w:type="paragraph" w:styleId="86">
    <w:name w:val="Body Text First Indent"/>
    <w:basedOn w:val="34"/>
    <w:qFormat/>
    <w:uiPriority w:val="0"/>
    <w:pPr>
      <w:ind w:firstLine="420" w:firstLineChars="100"/>
    </w:pPr>
  </w:style>
  <w:style w:type="paragraph" w:styleId="87">
    <w:name w:val="Body Text First Indent 2"/>
    <w:basedOn w:val="35"/>
    <w:qFormat/>
    <w:uiPriority w:val="0"/>
    <w:pPr>
      <w:ind w:firstLine="420" w:firstLineChars="200"/>
    </w:pPr>
  </w:style>
  <w:style w:type="character" w:styleId="90">
    <w:name w:val="Strong"/>
    <w:qFormat/>
    <w:uiPriority w:val="22"/>
    <w:rPr>
      <w:b/>
    </w:rPr>
  </w:style>
  <w:style w:type="character" w:styleId="91">
    <w:name w:val="page number"/>
    <w:basedOn w:val="89"/>
    <w:qFormat/>
    <w:uiPriority w:val="0"/>
  </w:style>
  <w:style w:type="character" w:styleId="92">
    <w:name w:val="Emphasis"/>
    <w:qFormat/>
    <w:uiPriority w:val="0"/>
    <w:rPr>
      <w:color w:val="CC0000"/>
    </w:rPr>
  </w:style>
  <w:style w:type="character" w:styleId="93">
    <w:name w:val="Hyperlink"/>
    <w:qFormat/>
    <w:uiPriority w:val="99"/>
    <w:rPr>
      <w:color w:val="000000"/>
      <w:u w:val="none"/>
    </w:rPr>
  </w:style>
  <w:style w:type="paragraph" w:customStyle="1" w:styleId="94">
    <w:name w:val="z-窗体顶端1"/>
    <w:basedOn w:val="1"/>
    <w:next w:val="1"/>
    <w:qFormat/>
    <w:uiPriority w:val="0"/>
    <w:pPr>
      <w:widowControl/>
      <w:pBdr>
        <w:bottom w:val="single" w:color="auto" w:sz="6" w:space="1"/>
      </w:pBdr>
      <w:jc w:val="center"/>
    </w:pPr>
    <w:rPr>
      <w:rFonts w:ascii="Arial" w:hAnsi="Arial"/>
      <w:vanish/>
      <w:kern w:val="0"/>
      <w:sz w:val="16"/>
    </w:rPr>
  </w:style>
  <w:style w:type="paragraph" w:customStyle="1" w:styleId="95">
    <w:name w:val="Char"/>
    <w:basedOn w:val="1"/>
    <w:qFormat/>
    <w:uiPriority w:val="0"/>
    <w:pPr>
      <w:tabs>
        <w:tab w:val="left" w:pos="360"/>
      </w:tabs>
    </w:pPr>
    <w:rPr>
      <w:rFonts w:ascii="Courier New" w:hAnsi="Courier New"/>
    </w:rPr>
  </w:style>
  <w:style w:type="paragraph" w:customStyle="1" w:styleId="96">
    <w:name w:val="列出段落11"/>
    <w:basedOn w:val="1"/>
    <w:qFormat/>
    <w:uiPriority w:val="0"/>
    <w:pPr>
      <w:ind w:firstLine="420" w:firstLineChars="200"/>
    </w:pPr>
    <w:rPr>
      <w:rFonts w:ascii="Calibri" w:hAnsi="Calibri"/>
    </w:rPr>
  </w:style>
  <w:style w:type="paragraph" w:customStyle="1" w:styleId="97">
    <w:name w:val="Default"/>
    <w:qFormat/>
    <w:uiPriority w:val="0"/>
    <w:pPr>
      <w:widowControl w:val="0"/>
      <w:autoSpaceDE w:val="0"/>
      <w:autoSpaceDN w:val="0"/>
      <w:adjustRightInd w:val="0"/>
    </w:pPr>
    <w:rPr>
      <w:rFonts w:ascii="仿宋_GB2312" w:hAnsi="Times New Roman" w:eastAsia="仿宋_GB2312" w:cs="Times New Roman"/>
      <w:color w:val="000000"/>
      <w:sz w:val="24"/>
      <w:lang w:val="en-US" w:eastAsia="zh-CN" w:bidi="ar-SA"/>
    </w:rPr>
  </w:style>
  <w:style w:type="paragraph" w:customStyle="1" w:styleId="98">
    <w:name w:val="页眉1"/>
    <w:basedOn w:val="1"/>
    <w:qFormat/>
    <w:uiPriority w:val="0"/>
    <w:pPr>
      <w:pBdr>
        <w:bottom w:val="single" w:color="auto" w:sz="6" w:space="1"/>
      </w:pBdr>
      <w:tabs>
        <w:tab w:val="center" w:pos="4153"/>
        <w:tab w:val="right" w:pos="8306"/>
      </w:tabs>
      <w:snapToGrid w:val="0"/>
      <w:jc w:val="center"/>
    </w:pPr>
    <w:rPr>
      <w:rFonts w:ascii="Calibri" w:hAnsi="Calibri"/>
      <w:sz w:val="18"/>
    </w:rPr>
  </w:style>
  <w:style w:type="paragraph" w:customStyle="1" w:styleId="99">
    <w:name w:val="无间隔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0">
    <w:name w:val="页脚1"/>
    <w:basedOn w:val="1"/>
    <w:qFormat/>
    <w:uiPriority w:val="0"/>
    <w:pPr>
      <w:tabs>
        <w:tab w:val="center" w:pos="4153"/>
        <w:tab w:val="right" w:pos="8306"/>
      </w:tabs>
      <w:snapToGrid w:val="0"/>
      <w:jc w:val="left"/>
    </w:pPr>
    <w:rPr>
      <w:sz w:val="18"/>
    </w:rPr>
  </w:style>
  <w:style w:type="paragraph" w:customStyle="1" w:styleId="101">
    <w:name w:val="列出段落1"/>
    <w:basedOn w:val="1"/>
    <w:qFormat/>
    <w:uiPriority w:val="0"/>
    <w:pPr>
      <w:ind w:firstLine="420" w:firstLineChars="200"/>
    </w:pPr>
  </w:style>
  <w:style w:type="paragraph" w:customStyle="1" w:styleId="102">
    <w:name w:val="p0"/>
    <w:basedOn w:val="1"/>
    <w:qFormat/>
    <w:uiPriority w:val="0"/>
    <w:pPr>
      <w:widowControl/>
    </w:pPr>
    <w:rPr>
      <w:kern w:val="0"/>
    </w:rPr>
  </w:style>
  <w:style w:type="paragraph" w:customStyle="1" w:styleId="103">
    <w:name w:val="列出段落12"/>
    <w:basedOn w:val="1"/>
    <w:qFormat/>
    <w:uiPriority w:val="0"/>
    <w:pPr>
      <w:widowControl/>
      <w:ind w:firstLine="420" w:firstLineChars="200"/>
      <w:jc w:val="left"/>
    </w:pPr>
    <w:rPr>
      <w:rFonts w:ascii="宋体" w:hAnsi="宋体"/>
      <w:kern w:val="0"/>
      <w:sz w:val="24"/>
    </w:rPr>
  </w:style>
  <w:style w:type="paragraph" w:customStyle="1" w:styleId="104">
    <w:name w:val="z-窗体底端1"/>
    <w:basedOn w:val="1"/>
    <w:next w:val="1"/>
    <w:qFormat/>
    <w:uiPriority w:val="0"/>
    <w:pPr>
      <w:widowControl/>
      <w:pBdr>
        <w:top w:val="single" w:color="auto" w:sz="6" w:space="1"/>
      </w:pBdr>
      <w:jc w:val="center"/>
    </w:pPr>
    <w:rPr>
      <w:rFonts w:ascii="Arial" w:hAnsi="Arial"/>
      <w:vanish/>
      <w:kern w:val="0"/>
      <w:sz w:val="16"/>
    </w:rPr>
  </w:style>
  <w:style w:type="character" w:customStyle="1" w:styleId="105">
    <w:name w:val="font01"/>
    <w:qFormat/>
    <w:uiPriority w:val="0"/>
    <w:rPr>
      <w:rFonts w:hint="default" w:ascii="Arial" w:hAnsi="Arial"/>
      <w:b/>
      <w:color w:val="000000"/>
      <w:sz w:val="16"/>
      <w:u w:val="none"/>
    </w:rPr>
  </w:style>
  <w:style w:type="character" w:customStyle="1" w:styleId="106">
    <w:name w:val="txtcontent11"/>
    <w:qFormat/>
    <w:uiPriority w:val="0"/>
    <w:rPr>
      <w:rFonts w:hint="default" w:ascii="ˎ̥" w:hAnsi="ˎ̥"/>
      <w:color w:val="000000"/>
      <w:sz w:val="21"/>
    </w:rPr>
  </w:style>
  <w:style w:type="character" w:customStyle="1" w:styleId="107">
    <w:name w:val="font41"/>
    <w:qFormat/>
    <w:uiPriority w:val="0"/>
    <w:rPr>
      <w:rFonts w:hint="eastAsia" w:ascii="宋体" w:hAnsi="宋体" w:eastAsia="宋体"/>
      <w:b/>
      <w:color w:val="000000"/>
      <w:sz w:val="16"/>
      <w:u w:val="none"/>
    </w:rPr>
  </w:style>
  <w:style w:type="character" w:customStyle="1" w:styleId="108">
    <w:name w:val="font81"/>
    <w:qFormat/>
    <w:uiPriority w:val="0"/>
    <w:rPr>
      <w:rFonts w:hint="eastAsia" w:ascii="宋体" w:hAnsi="宋体" w:eastAsia="宋体"/>
      <w:b/>
      <w:color w:val="000000"/>
      <w:sz w:val="16"/>
      <w:u w:val="none"/>
    </w:rPr>
  </w:style>
  <w:style w:type="character" w:customStyle="1" w:styleId="109">
    <w:name w:val="font61"/>
    <w:qFormat/>
    <w:uiPriority w:val="0"/>
    <w:rPr>
      <w:rFonts w:hint="eastAsia" w:ascii="宋体" w:hAnsi="宋体" w:eastAsia="宋体"/>
      <w:b/>
      <w:color w:val="000000"/>
      <w:sz w:val="16"/>
      <w:u w:val="none"/>
    </w:rPr>
  </w:style>
  <w:style w:type="character" w:customStyle="1" w:styleId="110">
    <w:name w:val="HTML Preformatted Char"/>
    <w:link w:val="80"/>
    <w:qFormat/>
    <w:uiPriority w:val="99"/>
    <w:rPr>
      <w:rFonts w:ascii="Courier New" w:hAnsi="Courier New"/>
      <w:kern w:val="2"/>
    </w:rPr>
  </w:style>
  <w:style w:type="character" w:customStyle="1" w:styleId="111">
    <w:name w:val="未处理的提及1"/>
    <w:qFormat/>
    <w:uiPriority w:val="0"/>
    <w:rPr>
      <w:color w:val="808080"/>
      <w:shd w:val="clear" w:color="auto" w:fill="E6E6E6"/>
    </w:rPr>
  </w:style>
  <w:style w:type="character" w:customStyle="1" w:styleId="112">
    <w:name w:val="personpopuptrigger"/>
    <w:basedOn w:val="89"/>
    <w:qFormat/>
    <w:uiPriority w:val="0"/>
  </w:style>
  <w:style w:type="character" w:customStyle="1" w:styleId="113">
    <w:name w:val="不明显强调1"/>
    <w:qFormat/>
    <w:uiPriority w:val="0"/>
    <w:rPr>
      <w:i/>
      <w:color w:val="808080"/>
    </w:rPr>
  </w:style>
  <w:style w:type="character" w:customStyle="1" w:styleId="114">
    <w:name w:val="font71"/>
    <w:qFormat/>
    <w:uiPriority w:val="0"/>
    <w:rPr>
      <w:rFonts w:hint="eastAsia" w:ascii="宋体" w:hAnsi="宋体" w:eastAsia="宋体"/>
      <w:b/>
      <w:color w:val="000000"/>
      <w:sz w:val="16"/>
      <w:u w:val="none"/>
    </w:rPr>
  </w:style>
  <w:style w:type="character" w:customStyle="1" w:styleId="115">
    <w:name w:val="Header Char"/>
    <w:link w:val="57"/>
    <w:qFormat/>
    <w:uiPriority w:val="0"/>
    <w:rPr>
      <w:rFonts w:ascii="Calibri" w:hAnsi="Calibri" w:eastAsia="宋体"/>
      <w:kern w:val="2"/>
      <w:sz w:val="18"/>
      <w:lang w:val="en-US" w:eastAsia="zh-CN"/>
    </w:rPr>
  </w:style>
  <w:style w:type="character" w:customStyle="1" w:styleId="116">
    <w:name w:val="font51"/>
    <w:qFormat/>
    <w:uiPriority w:val="0"/>
    <w:rPr>
      <w:rFonts w:hint="default" w:ascii="Arial" w:hAnsi="Arial"/>
      <w:b/>
      <w:color w:val="000000"/>
      <w:sz w:val="16"/>
      <w:u w:val="none"/>
    </w:rPr>
  </w:style>
  <w:style w:type="character" w:customStyle="1" w:styleId="117">
    <w:name w:val="font11"/>
    <w:qFormat/>
    <w:uiPriority w:val="0"/>
    <w:rPr>
      <w:rFonts w:hint="default" w:ascii="Arial" w:hAnsi="Arial"/>
      <w:b/>
      <w:color w:val="000000"/>
      <w:sz w:val="16"/>
      <w:u w:val="none"/>
    </w:rPr>
  </w:style>
  <w:style w:type="character" w:customStyle="1" w:styleId="118">
    <w:name w:val="underline1"/>
    <w:qFormat/>
    <w:uiPriority w:val="0"/>
    <w:rPr>
      <w:u w:val="single"/>
    </w:rPr>
  </w:style>
  <w:style w:type="character" w:customStyle="1" w:styleId="119">
    <w:name w:val="font31"/>
    <w:qFormat/>
    <w:uiPriority w:val="0"/>
    <w:rPr>
      <w:rFonts w:hint="eastAsia" w:ascii="宋体" w:hAnsi="宋体" w:eastAsia="宋体"/>
      <w:b/>
      <w:color w:val="000000"/>
      <w:sz w:val="16"/>
      <w:u w:val="none"/>
    </w:rPr>
  </w:style>
  <w:style w:type="character" w:customStyle="1" w:styleId="120">
    <w:name w:val="apple-converted-space"/>
    <w:basedOn w:val="89"/>
    <w:qFormat/>
    <w:uiPriority w:val="0"/>
  </w:style>
  <w:style w:type="character" w:customStyle="1" w:styleId="121">
    <w:name w:val="lbldetailcontent1"/>
    <w:qFormat/>
    <w:uiPriority w:val="0"/>
  </w:style>
  <w:style w:type="character" w:customStyle="1" w:styleId="122">
    <w:name w:val="页码1"/>
    <w:basedOn w:val="89"/>
    <w:qFormat/>
    <w:uiPriority w:val="0"/>
  </w:style>
  <w:style w:type="character" w:customStyle="1" w:styleId="123">
    <w:name w:val="font21"/>
    <w:qFormat/>
    <w:uiPriority w:val="0"/>
    <w:rPr>
      <w:rFonts w:hint="eastAsia" w:ascii="宋体" w:hAnsi="宋体" w:eastAsia="宋体"/>
      <w:b/>
      <w:color w:val="000000"/>
      <w:sz w:val="16"/>
      <w:u w:val="none"/>
    </w:rPr>
  </w:style>
  <w:style w:type="paragraph" w:customStyle="1" w:styleId="124">
    <w:name w:val="列表段落1"/>
    <w:basedOn w:val="1"/>
    <w:unhideWhenUsed/>
    <w:qFormat/>
    <w:uiPriority w:val="99"/>
    <w:pPr>
      <w:ind w:firstLine="420" w:firstLineChars="200"/>
    </w:pPr>
  </w:style>
  <w:style w:type="character" w:customStyle="1" w:styleId="125">
    <w:name w:val="readmail_locationtip"/>
    <w:basedOn w:val="89"/>
    <w:qFormat/>
    <w:uiPriority w:val="0"/>
  </w:style>
  <w:style w:type="character" w:customStyle="1" w:styleId="126">
    <w:name w:val="未处理的提及2"/>
    <w:basedOn w:val="89"/>
    <w:unhideWhenUsed/>
    <w:qFormat/>
    <w:uiPriority w:val="99"/>
    <w:rPr>
      <w:color w:val="605E5C"/>
      <w:shd w:val="clear" w:color="auto" w:fill="E1DFDD"/>
    </w:rPr>
  </w:style>
  <w:style w:type="paragraph" w:styleId="12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file:///C:\Documents%252525252525252525252525252525252525252525252525252525252525252525252525252525252525252525252525252525252525252525252525252525252525252525252525252525252520and%252525252525252525252525252525252525252525252525252525252525252525252525252525252525252525252525252525252525252525252525252525252525252525252525252525252520Settings\Administrator\Application%252525252525252525252525252525252525252525252525252525252525252525252525252525252525252525252525252525252525252525252525252525252525252525252525252525252520Data\Tencent\Users\546561691\QQ\WinTemp\RichOle\0)8_BB~N77$%25252525252525252525252525252525252525252525252525252525252525252525252525252525252525252525252525252525252525252525252525252525252525252525252525252525257BE0Z8%25252525252525252525252525252525252525252525252525252525252525252525252525252525252525252525252525252525252525252525252525252525252525252525252525252525257DY~7UIU.pn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7AF1DF-D94D-427F-952E-0C7B9E2DA6BE}">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新世纪期货盘前交易提示2019.3.21.dotx</Template>
  <Company>Microsoft</Company>
  <Pages>6</Pages>
  <Words>5836</Words>
  <Characters>6559</Characters>
  <Lines>50</Lines>
  <Paragraphs>14</Paragraphs>
  <TotalTime>5</TotalTime>
  <ScaleCrop>false</ScaleCrop>
  <LinksUpToDate>false</LinksUpToDate>
  <CharactersWithSpaces>6680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2019-04-30T00:41:00Z</dcterms:created>
  <dc:creator>AutoBVT</dc:creator>
  <cp:lastModifiedBy>Yebo Meow</cp:lastModifiedBy>
  <cp:lastPrinted>2019-05-21T00:49:00Z</cp:lastPrinted>
  <dcterms:modified xsi:type="dcterms:W3CDTF">2019-05-30T08:38:54Z</dcterms:modified>
  <dc:title>避险拉动，金牛隐现</dc:title>
  <cp:revision>238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